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Fonts w:hint="default" w:ascii="Times New Roman" w:hAnsi="Times New Roman" w:eastAsia="宋体" w:cs="Times New Roman"/>
          <w:b/>
          <w:bCs/>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Fonts w:hint="default" w:ascii="Times New Roman" w:hAnsi="Times New Roman" w:eastAsia="宋体" w:cs="Times New Roman"/>
          <w:b/>
          <w:bCs/>
          <w:sz w:val="44"/>
          <w:szCs w:val="44"/>
          <w:lang w:val="en-US" w:eastAsia="zh-CN"/>
        </w:rPr>
      </w:pPr>
      <w:r>
        <w:rPr>
          <w:rFonts w:hint="eastAsia" w:ascii="Times New Roman" w:hAnsi="Times New Roman" w:cs="Times New Roman"/>
          <w:b/>
          <w:bCs/>
          <w:sz w:val="44"/>
          <w:szCs w:val="44"/>
          <w:lang w:val="en-US" w:eastAsia="zh-CN"/>
        </w:rPr>
        <w:t>泉州市林业局</w:t>
      </w:r>
      <w:r>
        <w:rPr>
          <w:rFonts w:hint="default" w:ascii="Times New Roman" w:hAnsi="Times New Roman" w:eastAsia="宋体" w:cs="Times New Roman"/>
          <w:b/>
          <w:bCs/>
          <w:sz w:val="44"/>
          <w:szCs w:val="44"/>
          <w:lang w:val="en-US" w:eastAsia="zh-CN"/>
        </w:rPr>
        <w:t>及下属单位综合性涉企收费目录清单</w:t>
      </w:r>
    </w:p>
    <w:p>
      <w:pPr>
        <w:pStyle w:val="4"/>
        <w:keepNext w:val="0"/>
        <w:keepLines w:val="0"/>
        <w:pageBreakBefore w:val="0"/>
        <w:widowControl w:val="0"/>
        <w:kinsoku/>
        <w:wordWrap/>
        <w:overflowPunct/>
        <w:topLinePunct w:val="0"/>
        <w:autoSpaceDE/>
        <w:autoSpaceDN/>
        <w:bidi w:val="0"/>
        <w:adjustRightInd/>
        <w:snapToGrid/>
        <w:spacing w:before="157" w:beforeLines="50" w:after="0" w:line="600" w:lineRule="exact"/>
        <w:ind w:left="0" w:leftChars="0" w:firstLine="0" w:firstLineChars="0"/>
        <w:textAlignment w:val="auto"/>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单位：泉州市林业局                          联系人及联系电话：黄华南</w:t>
      </w:r>
      <w:bookmarkStart w:id="0" w:name="_GoBack"/>
      <w:bookmarkEnd w:id="0"/>
      <w:r>
        <w:rPr>
          <w:rFonts w:hint="eastAsia" w:ascii="楷体_GB2312" w:hAnsi="楷体_GB2312" w:eastAsia="楷体_GB2312" w:cs="楷体_GB2312"/>
          <w:sz w:val="28"/>
          <w:szCs w:val="28"/>
          <w:lang w:val="en-US" w:eastAsia="zh-CN"/>
        </w:rPr>
        <w:t>0595-22132232</w:t>
      </w:r>
    </w:p>
    <w:tbl>
      <w:tblPr>
        <w:tblStyle w:val="8"/>
        <w:tblW w:w="13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737"/>
        <w:gridCol w:w="1175"/>
        <w:gridCol w:w="713"/>
        <w:gridCol w:w="962"/>
        <w:gridCol w:w="950"/>
        <w:gridCol w:w="1225"/>
        <w:gridCol w:w="4589"/>
        <w:gridCol w:w="886"/>
        <w:gridCol w:w="1700"/>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trPr>
        <w:tc>
          <w:tcPr>
            <w:tcW w:w="467" w:type="dxa"/>
            <w:noWrap w:val="0"/>
            <w:vAlign w:val="center"/>
          </w:tcPr>
          <w:p>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序号</w:t>
            </w:r>
          </w:p>
        </w:tc>
        <w:tc>
          <w:tcPr>
            <w:tcW w:w="737" w:type="dxa"/>
            <w:noWrap w:val="0"/>
            <w:vAlign w:val="center"/>
          </w:tcPr>
          <w:p>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部门名称</w:t>
            </w:r>
          </w:p>
        </w:tc>
        <w:tc>
          <w:tcPr>
            <w:tcW w:w="1175" w:type="dxa"/>
            <w:noWrap w:val="0"/>
            <w:vAlign w:val="center"/>
          </w:tcPr>
          <w:p>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收费单位名称</w:t>
            </w:r>
          </w:p>
        </w:tc>
        <w:tc>
          <w:tcPr>
            <w:tcW w:w="713" w:type="dxa"/>
            <w:noWrap w:val="0"/>
            <w:vAlign w:val="center"/>
          </w:tcPr>
          <w:p>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单位性质</w:t>
            </w:r>
          </w:p>
        </w:tc>
        <w:tc>
          <w:tcPr>
            <w:tcW w:w="962" w:type="dxa"/>
            <w:noWrap w:val="0"/>
            <w:vAlign w:val="center"/>
          </w:tcPr>
          <w:p>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收费项目</w:t>
            </w:r>
          </w:p>
        </w:tc>
        <w:tc>
          <w:tcPr>
            <w:tcW w:w="950" w:type="dxa"/>
            <w:noWrap w:val="0"/>
            <w:vAlign w:val="center"/>
          </w:tcPr>
          <w:p>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收费性质</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服务内容或涉及事项</w:t>
            </w:r>
          </w:p>
        </w:tc>
        <w:tc>
          <w:tcPr>
            <w:tcW w:w="4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收费标准</w:t>
            </w: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标准制定方式及部门</w:t>
            </w:r>
          </w:p>
        </w:tc>
        <w:tc>
          <w:tcPr>
            <w:tcW w:w="1700" w:type="dxa"/>
            <w:noWrap w:val="0"/>
            <w:vAlign w:val="center"/>
          </w:tcPr>
          <w:p>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政策依据</w:t>
            </w:r>
          </w:p>
        </w:tc>
        <w:tc>
          <w:tcPr>
            <w:tcW w:w="536" w:type="dxa"/>
            <w:noWrap w:val="0"/>
            <w:vAlign w:val="center"/>
          </w:tcPr>
          <w:p>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9" w:hRule="exact"/>
        </w:trPr>
        <w:tc>
          <w:tcPr>
            <w:tcW w:w="467" w:type="dxa"/>
            <w:noWrap w:val="0"/>
            <w:vAlign w:val="center"/>
          </w:tcPr>
          <w:p>
            <w:pPr>
              <w:jc w:val="center"/>
              <w:rPr>
                <w:rFonts w:hint="default" w:ascii="Times New Roman" w:hAnsi="Times New Roman" w:cs="Times New Roman"/>
                <w:sz w:val="21"/>
                <w:szCs w:val="21"/>
                <w:lang w:val="en-US" w:eastAsia="zh-CN"/>
              </w:rPr>
            </w:pPr>
          </w:p>
        </w:tc>
        <w:tc>
          <w:tcPr>
            <w:tcW w:w="737" w:type="dxa"/>
            <w:noWrap w:val="0"/>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泉州市林业局</w:t>
            </w:r>
          </w:p>
        </w:tc>
        <w:tc>
          <w:tcPr>
            <w:tcW w:w="1175" w:type="dxa"/>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市本级</w:t>
            </w:r>
          </w:p>
        </w:tc>
        <w:tc>
          <w:tcPr>
            <w:tcW w:w="713" w:type="dxa"/>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政府部门</w:t>
            </w:r>
          </w:p>
        </w:tc>
        <w:tc>
          <w:tcPr>
            <w:tcW w:w="962" w:type="dxa"/>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森林植被恢复费</w:t>
            </w:r>
          </w:p>
        </w:tc>
        <w:tc>
          <w:tcPr>
            <w:tcW w:w="950" w:type="dxa"/>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政府性基金</w:t>
            </w:r>
          </w:p>
        </w:tc>
        <w:tc>
          <w:tcPr>
            <w:tcW w:w="1225" w:type="dxa"/>
            <w:noWrap w:val="0"/>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矿藏勘查、开采以及其他各类工程建设占用林地审核</w:t>
            </w:r>
          </w:p>
        </w:tc>
        <w:tc>
          <w:tcPr>
            <w:tcW w:w="4589" w:type="dxa"/>
            <w:noWrap w:val="0"/>
            <w:vAlign w:val="center"/>
          </w:tcPr>
          <w:p>
            <w:pPr>
              <w:jc w:val="left"/>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一、福建省森林植被恢复费具体征收标准如下：</w:t>
            </w:r>
          </w:p>
          <w:p>
            <w:pPr>
              <w:jc w:val="left"/>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　  （一）郁闭度0.2以上的乔木林地（含采伐迹地、火烧迹地）、竹林地、苗圃地，每平方米15元；灌木林地、疏林地、未成林造林地，每平方米10元；宜林地，每平方米5元。</w:t>
            </w:r>
          </w:p>
          <w:p>
            <w:pPr>
              <w:jc w:val="left"/>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　  （二）国家和省级公益林林地，按照第（一）款规定征收标准2倍征收。</w:t>
            </w:r>
          </w:p>
          <w:p>
            <w:pPr>
              <w:jc w:val="left"/>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　  （三）城市规划区的林地，按照第（一）、（二）款规定征收标准2倍征收。</w:t>
            </w:r>
          </w:p>
          <w:p>
            <w:pPr>
              <w:jc w:val="left"/>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　  （四）城市规划区外的林地，按占用征收林地建设项目性质实行不同征收标准。属于公共基础设施、公共事业和国防建设项目的，按照第（一）、（二）款规定征收标准征收；属于经营性建设项目的，按照第（一）、（二）款规定征收标准2倍征收。</w:t>
            </w:r>
          </w:p>
        </w:tc>
        <w:tc>
          <w:tcPr>
            <w:tcW w:w="886" w:type="dxa"/>
            <w:noWrap w:val="0"/>
            <w:vAlign w:val="center"/>
          </w:tcPr>
          <w:p>
            <w:pPr>
              <w:jc w:val="center"/>
              <w:rPr>
                <w:rFonts w:hint="default"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政府制定</w:t>
            </w:r>
          </w:p>
        </w:tc>
        <w:tc>
          <w:tcPr>
            <w:tcW w:w="1700" w:type="dxa"/>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《福建省财政厅福建省林业厅中国人民银行福州中心支行关于调整森林植被恢复费征收标准引导节约集约利用林地的通知》（闽财税〔2016〕25号）</w:t>
            </w:r>
          </w:p>
        </w:tc>
        <w:tc>
          <w:tcPr>
            <w:tcW w:w="536" w:type="dxa"/>
            <w:noWrap w:val="0"/>
            <w:vAlign w:val="center"/>
          </w:tcPr>
          <w:p>
            <w:pPr>
              <w:jc w:val="center"/>
              <w:rPr>
                <w:rFonts w:hint="default"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exact"/>
        </w:trPr>
        <w:tc>
          <w:tcPr>
            <w:tcW w:w="467" w:type="dxa"/>
            <w:noWrap w:val="0"/>
            <w:vAlign w:val="center"/>
          </w:tcPr>
          <w:p>
            <w:pPr>
              <w:jc w:val="center"/>
              <w:rPr>
                <w:rFonts w:hint="default" w:ascii="Times New Roman" w:hAnsi="Times New Roman" w:cs="Times New Roman"/>
                <w:sz w:val="21"/>
                <w:szCs w:val="21"/>
                <w:lang w:val="en-US" w:eastAsia="zh-CN"/>
              </w:rPr>
            </w:pPr>
          </w:p>
        </w:tc>
        <w:tc>
          <w:tcPr>
            <w:tcW w:w="737" w:type="dxa"/>
            <w:noWrap w:val="0"/>
            <w:vAlign w:val="center"/>
          </w:tcPr>
          <w:p>
            <w:pPr>
              <w:jc w:val="center"/>
              <w:rPr>
                <w:rFonts w:hint="default" w:ascii="Times New Roman" w:hAnsi="Times New Roman" w:cs="Times New Roman"/>
                <w:sz w:val="21"/>
                <w:szCs w:val="21"/>
                <w:lang w:val="en-US" w:eastAsia="zh-CN"/>
              </w:rPr>
            </w:pPr>
          </w:p>
        </w:tc>
        <w:tc>
          <w:tcPr>
            <w:tcW w:w="1175" w:type="dxa"/>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泉州市城市森林公园发展中心</w:t>
            </w:r>
          </w:p>
        </w:tc>
        <w:tc>
          <w:tcPr>
            <w:tcW w:w="713" w:type="dxa"/>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事业单位</w:t>
            </w:r>
          </w:p>
        </w:tc>
        <w:tc>
          <w:tcPr>
            <w:tcW w:w="962" w:type="dxa"/>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无</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1"/>
                <w:szCs w:val="21"/>
                <w:lang w:val="en-US" w:eastAsia="zh-CN"/>
              </w:rPr>
            </w:pPr>
          </w:p>
        </w:tc>
        <w:tc>
          <w:tcPr>
            <w:tcW w:w="1225" w:type="dxa"/>
            <w:noWrap w:val="0"/>
            <w:vAlign w:val="center"/>
          </w:tcPr>
          <w:p>
            <w:pPr>
              <w:jc w:val="center"/>
              <w:rPr>
                <w:rFonts w:hint="default" w:ascii="Times New Roman" w:hAnsi="Times New Roman" w:cs="Times New Roman"/>
                <w:sz w:val="21"/>
                <w:szCs w:val="21"/>
                <w:lang w:val="en-US" w:eastAsia="zh-CN"/>
              </w:rPr>
            </w:pPr>
          </w:p>
        </w:tc>
        <w:tc>
          <w:tcPr>
            <w:tcW w:w="4589" w:type="dxa"/>
            <w:noWrap w:val="0"/>
            <w:vAlign w:val="center"/>
          </w:tcPr>
          <w:p>
            <w:pPr>
              <w:jc w:val="center"/>
              <w:rPr>
                <w:rFonts w:hint="default" w:ascii="Times New Roman" w:hAnsi="Times New Roman" w:cs="Times New Roman"/>
                <w:sz w:val="15"/>
                <w:szCs w:val="15"/>
                <w:lang w:val="en-US" w:eastAsia="zh-CN"/>
              </w:rPr>
            </w:pPr>
          </w:p>
        </w:tc>
        <w:tc>
          <w:tcPr>
            <w:tcW w:w="886" w:type="dxa"/>
            <w:noWrap w:val="0"/>
            <w:vAlign w:val="center"/>
          </w:tcPr>
          <w:p>
            <w:pPr>
              <w:jc w:val="center"/>
              <w:rPr>
                <w:rFonts w:hint="default" w:ascii="Times New Roman" w:hAnsi="Times New Roman" w:cs="Times New Roman"/>
                <w:sz w:val="15"/>
                <w:szCs w:val="15"/>
                <w:lang w:val="en-US" w:eastAsia="zh-CN"/>
              </w:rPr>
            </w:pPr>
          </w:p>
        </w:tc>
        <w:tc>
          <w:tcPr>
            <w:tcW w:w="1700" w:type="dxa"/>
            <w:noWrap w:val="0"/>
            <w:vAlign w:val="center"/>
          </w:tcPr>
          <w:p>
            <w:pPr>
              <w:jc w:val="center"/>
              <w:rPr>
                <w:rFonts w:hint="default" w:ascii="Times New Roman" w:hAnsi="Times New Roman" w:cs="Times New Roman"/>
                <w:sz w:val="21"/>
                <w:szCs w:val="21"/>
                <w:lang w:val="en-US" w:eastAsia="zh-CN"/>
              </w:rPr>
            </w:pPr>
          </w:p>
        </w:tc>
        <w:tc>
          <w:tcPr>
            <w:tcW w:w="536" w:type="dxa"/>
            <w:noWrap w:val="0"/>
            <w:vAlign w:val="center"/>
          </w:tcPr>
          <w:p>
            <w:pPr>
              <w:jc w:val="center"/>
              <w:rPr>
                <w:rFonts w:hint="default"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exact"/>
        </w:trPr>
        <w:tc>
          <w:tcPr>
            <w:tcW w:w="467" w:type="dxa"/>
            <w:noWrap w:val="0"/>
            <w:vAlign w:val="center"/>
          </w:tcPr>
          <w:p>
            <w:pPr>
              <w:jc w:val="center"/>
              <w:rPr>
                <w:rFonts w:hint="default" w:ascii="Times New Roman" w:hAnsi="Times New Roman" w:cs="Times New Roman"/>
                <w:sz w:val="21"/>
                <w:szCs w:val="21"/>
                <w:lang w:val="en-US" w:eastAsia="zh-CN"/>
              </w:rPr>
            </w:pPr>
          </w:p>
        </w:tc>
        <w:tc>
          <w:tcPr>
            <w:tcW w:w="737" w:type="dxa"/>
            <w:noWrap w:val="0"/>
            <w:vAlign w:val="center"/>
          </w:tcPr>
          <w:p>
            <w:pPr>
              <w:jc w:val="center"/>
              <w:rPr>
                <w:rFonts w:hint="default" w:ascii="Times New Roman" w:hAnsi="Times New Roman" w:cs="Times New Roman"/>
                <w:sz w:val="21"/>
                <w:szCs w:val="21"/>
                <w:lang w:val="en-US" w:eastAsia="zh-CN"/>
              </w:rPr>
            </w:pPr>
          </w:p>
        </w:tc>
        <w:tc>
          <w:tcPr>
            <w:tcW w:w="1175" w:type="dxa"/>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泉州湾河口湿地省级自然保护区发展中心</w:t>
            </w:r>
          </w:p>
        </w:tc>
        <w:tc>
          <w:tcPr>
            <w:tcW w:w="713" w:type="dxa"/>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事业单位</w:t>
            </w:r>
          </w:p>
        </w:tc>
        <w:tc>
          <w:tcPr>
            <w:tcW w:w="962" w:type="dxa"/>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无</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1"/>
                <w:szCs w:val="21"/>
                <w:lang w:val="en-US" w:eastAsia="zh-CN"/>
              </w:rPr>
            </w:pPr>
          </w:p>
        </w:tc>
        <w:tc>
          <w:tcPr>
            <w:tcW w:w="1225" w:type="dxa"/>
            <w:noWrap w:val="0"/>
            <w:vAlign w:val="center"/>
          </w:tcPr>
          <w:p>
            <w:pPr>
              <w:jc w:val="center"/>
              <w:rPr>
                <w:rFonts w:hint="default" w:ascii="Times New Roman" w:hAnsi="Times New Roman" w:cs="Times New Roman"/>
                <w:sz w:val="21"/>
                <w:szCs w:val="21"/>
                <w:lang w:val="en-US" w:eastAsia="zh-CN"/>
              </w:rPr>
            </w:pPr>
          </w:p>
        </w:tc>
        <w:tc>
          <w:tcPr>
            <w:tcW w:w="4589" w:type="dxa"/>
            <w:noWrap w:val="0"/>
            <w:vAlign w:val="center"/>
          </w:tcPr>
          <w:p>
            <w:pPr>
              <w:jc w:val="center"/>
              <w:rPr>
                <w:rFonts w:hint="default" w:ascii="Times New Roman" w:hAnsi="Times New Roman" w:cs="Times New Roman"/>
                <w:sz w:val="21"/>
                <w:szCs w:val="21"/>
                <w:lang w:val="en-US" w:eastAsia="zh-CN"/>
              </w:rPr>
            </w:pPr>
          </w:p>
        </w:tc>
        <w:tc>
          <w:tcPr>
            <w:tcW w:w="886" w:type="dxa"/>
            <w:noWrap w:val="0"/>
            <w:vAlign w:val="center"/>
          </w:tcPr>
          <w:p>
            <w:pPr>
              <w:jc w:val="center"/>
              <w:rPr>
                <w:rFonts w:hint="default" w:ascii="Times New Roman" w:hAnsi="Times New Roman" w:cs="Times New Roman"/>
                <w:sz w:val="21"/>
                <w:szCs w:val="21"/>
                <w:lang w:val="en-US" w:eastAsia="zh-CN"/>
              </w:rPr>
            </w:pPr>
          </w:p>
        </w:tc>
        <w:tc>
          <w:tcPr>
            <w:tcW w:w="1700" w:type="dxa"/>
            <w:noWrap w:val="0"/>
            <w:vAlign w:val="center"/>
          </w:tcPr>
          <w:p>
            <w:pPr>
              <w:jc w:val="center"/>
              <w:rPr>
                <w:rFonts w:hint="default" w:ascii="Times New Roman" w:hAnsi="Times New Roman" w:cs="Times New Roman"/>
                <w:sz w:val="21"/>
                <w:szCs w:val="21"/>
                <w:lang w:val="en-US" w:eastAsia="zh-CN"/>
              </w:rPr>
            </w:pPr>
          </w:p>
        </w:tc>
        <w:tc>
          <w:tcPr>
            <w:tcW w:w="536" w:type="dxa"/>
            <w:noWrap w:val="0"/>
            <w:vAlign w:val="center"/>
          </w:tcPr>
          <w:p>
            <w:pPr>
              <w:jc w:val="center"/>
              <w:rPr>
                <w:rFonts w:hint="default" w:ascii="Times New Roman" w:hAnsi="Times New Roman" w:cs="Times New Roman"/>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28"/>
          <w:szCs w:val="28"/>
          <w:u w:val="single"/>
          <w:lang w:val="en-US" w:eastAsia="zh-CN"/>
        </w:rPr>
      </w:pPr>
    </w:p>
    <w:sectPr>
      <w:footerReference r:id="rId3" w:type="default"/>
      <w:pgSz w:w="16838" w:h="11906" w:orient="landscape"/>
      <w:pgMar w:top="1587" w:right="1984" w:bottom="1474" w:left="141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AB49B"/>
    <w:rsid w:val="05B1E6F4"/>
    <w:rsid w:val="09FF9C6C"/>
    <w:rsid w:val="0CCC1704"/>
    <w:rsid w:val="0F97378F"/>
    <w:rsid w:val="0FF7AD87"/>
    <w:rsid w:val="0FFF3EE2"/>
    <w:rsid w:val="17E3B6D0"/>
    <w:rsid w:val="18EAAC49"/>
    <w:rsid w:val="1A4BE06F"/>
    <w:rsid w:val="1BEBBE5D"/>
    <w:rsid w:val="1BF9DD2D"/>
    <w:rsid w:val="1DFD6027"/>
    <w:rsid w:val="1EDC2BB2"/>
    <w:rsid w:val="1EFE9D5B"/>
    <w:rsid w:val="1F11DB4F"/>
    <w:rsid w:val="1F37E127"/>
    <w:rsid w:val="1F3D5176"/>
    <w:rsid w:val="1FDF6631"/>
    <w:rsid w:val="233BB87A"/>
    <w:rsid w:val="253F2AF5"/>
    <w:rsid w:val="2ABD04A3"/>
    <w:rsid w:val="2DAFD661"/>
    <w:rsid w:val="2F5FCFF8"/>
    <w:rsid w:val="2F7DAFC2"/>
    <w:rsid w:val="2FF42B08"/>
    <w:rsid w:val="2FF6C092"/>
    <w:rsid w:val="2FFDD372"/>
    <w:rsid w:val="2FFE8501"/>
    <w:rsid w:val="32F5AB22"/>
    <w:rsid w:val="32F83F5E"/>
    <w:rsid w:val="36FD2819"/>
    <w:rsid w:val="37736300"/>
    <w:rsid w:val="377FF639"/>
    <w:rsid w:val="37FB0C9A"/>
    <w:rsid w:val="38CF683D"/>
    <w:rsid w:val="3BF79AA1"/>
    <w:rsid w:val="3C4BDABC"/>
    <w:rsid w:val="3CDB1FF8"/>
    <w:rsid w:val="3CEFE4B5"/>
    <w:rsid w:val="3CF52F7F"/>
    <w:rsid w:val="3CFF5A04"/>
    <w:rsid w:val="3DFB92EB"/>
    <w:rsid w:val="3DFBA8A9"/>
    <w:rsid w:val="3DFFCE7B"/>
    <w:rsid w:val="3E564FE6"/>
    <w:rsid w:val="3E90E1FC"/>
    <w:rsid w:val="3EDD8969"/>
    <w:rsid w:val="3EE5C107"/>
    <w:rsid w:val="3EFB95D9"/>
    <w:rsid w:val="3F1F7784"/>
    <w:rsid w:val="3F7F7B84"/>
    <w:rsid w:val="3FD50E7E"/>
    <w:rsid w:val="3FDEC4FD"/>
    <w:rsid w:val="3FE67957"/>
    <w:rsid w:val="464DC7B6"/>
    <w:rsid w:val="4787A791"/>
    <w:rsid w:val="47F1481D"/>
    <w:rsid w:val="47FFDB77"/>
    <w:rsid w:val="4B7DD724"/>
    <w:rsid w:val="4BCAFD4B"/>
    <w:rsid w:val="4DCF4865"/>
    <w:rsid w:val="4E75DEBF"/>
    <w:rsid w:val="4FFF44E3"/>
    <w:rsid w:val="52F7E339"/>
    <w:rsid w:val="54FA6CD9"/>
    <w:rsid w:val="577FDB7C"/>
    <w:rsid w:val="57AA34A4"/>
    <w:rsid w:val="57ED8078"/>
    <w:rsid w:val="57F17EDB"/>
    <w:rsid w:val="57F3110F"/>
    <w:rsid w:val="57F51AE8"/>
    <w:rsid w:val="57FFB41C"/>
    <w:rsid w:val="596E82F9"/>
    <w:rsid w:val="5A99BA86"/>
    <w:rsid w:val="5B2E9F08"/>
    <w:rsid w:val="5B7BDE56"/>
    <w:rsid w:val="5BE937CB"/>
    <w:rsid w:val="5BEF3B39"/>
    <w:rsid w:val="5D5EEE58"/>
    <w:rsid w:val="5DEF431F"/>
    <w:rsid w:val="5DEFDFAB"/>
    <w:rsid w:val="5E292381"/>
    <w:rsid w:val="5E5C1EC6"/>
    <w:rsid w:val="5EFF7B50"/>
    <w:rsid w:val="5F37374E"/>
    <w:rsid w:val="5F55D100"/>
    <w:rsid w:val="5F5B1768"/>
    <w:rsid w:val="5F677228"/>
    <w:rsid w:val="5FB91938"/>
    <w:rsid w:val="5FBD1390"/>
    <w:rsid w:val="5FDBC13A"/>
    <w:rsid w:val="5FDEB21A"/>
    <w:rsid w:val="5FFAF00A"/>
    <w:rsid w:val="64FF2D8F"/>
    <w:rsid w:val="67FE5588"/>
    <w:rsid w:val="69FFEB46"/>
    <w:rsid w:val="6AE583AC"/>
    <w:rsid w:val="6AF51872"/>
    <w:rsid w:val="6B5C798C"/>
    <w:rsid w:val="6BC7798D"/>
    <w:rsid w:val="6BDD2EA4"/>
    <w:rsid w:val="6D7D8947"/>
    <w:rsid w:val="6D96D77D"/>
    <w:rsid w:val="6DBBF487"/>
    <w:rsid w:val="6DDD8900"/>
    <w:rsid w:val="6DFB6E53"/>
    <w:rsid w:val="6DFD076C"/>
    <w:rsid w:val="6EBFFDE5"/>
    <w:rsid w:val="6FF701E5"/>
    <w:rsid w:val="6FF7E483"/>
    <w:rsid w:val="6FF8A0D4"/>
    <w:rsid w:val="715F2F3E"/>
    <w:rsid w:val="739F1C31"/>
    <w:rsid w:val="769382D7"/>
    <w:rsid w:val="76C75341"/>
    <w:rsid w:val="76D734E9"/>
    <w:rsid w:val="76F78719"/>
    <w:rsid w:val="76FA0D74"/>
    <w:rsid w:val="773B179B"/>
    <w:rsid w:val="773E8324"/>
    <w:rsid w:val="777E0A80"/>
    <w:rsid w:val="77BF90FF"/>
    <w:rsid w:val="77CF1481"/>
    <w:rsid w:val="77DD41D0"/>
    <w:rsid w:val="793698A1"/>
    <w:rsid w:val="79A98A4A"/>
    <w:rsid w:val="79F6F095"/>
    <w:rsid w:val="7AFDC367"/>
    <w:rsid w:val="7B5183A8"/>
    <w:rsid w:val="7B8DCEDC"/>
    <w:rsid w:val="7B934795"/>
    <w:rsid w:val="7B9B888B"/>
    <w:rsid w:val="7B9F02EF"/>
    <w:rsid w:val="7BAFFDFC"/>
    <w:rsid w:val="7BD771E9"/>
    <w:rsid w:val="7BFC87AA"/>
    <w:rsid w:val="7CFE4712"/>
    <w:rsid w:val="7D1E3305"/>
    <w:rsid w:val="7D9BB496"/>
    <w:rsid w:val="7DBD66AA"/>
    <w:rsid w:val="7DF674D6"/>
    <w:rsid w:val="7DFD62C0"/>
    <w:rsid w:val="7DFDBE84"/>
    <w:rsid w:val="7DFDEE9B"/>
    <w:rsid w:val="7DFE82A0"/>
    <w:rsid w:val="7EAFCBC0"/>
    <w:rsid w:val="7EBB4BA7"/>
    <w:rsid w:val="7ECAB49B"/>
    <w:rsid w:val="7EEFB5EE"/>
    <w:rsid w:val="7EFCB04E"/>
    <w:rsid w:val="7EFED740"/>
    <w:rsid w:val="7EFF4495"/>
    <w:rsid w:val="7F1D4953"/>
    <w:rsid w:val="7F23FFDA"/>
    <w:rsid w:val="7F2F7E1E"/>
    <w:rsid w:val="7F3E4FFB"/>
    <w:rsid w:val="7F5D480F"/>
    <w:rsid w:val="7F5F4D4E"/>
    <w:rsid w:val="7F711DD1"/>
    <w:rsid w:val="7F77F9DE"/>
    <w:rsid w:val="7F7D1BD7"/>
    <w:rsid w:val="7F7FAA6C"/>
    <w:rsid w:val="7F7FBED2"/>
    <w:rsid w:val="7F8B4719"/>
    <w:rsid w:val="7F9D1CA8"/>
    <w:rsid w:val="7FBF9260"/>
    <w:rsid w:val="7FEF3A31"/>
    <w:rsid w:val="7FEF82AE"/>
    <w:rsid w:val="7FEFEBBD"/>
    <w:rsid w:val="7FF1D15C"/>
    <w:rsid w:val="7FFACF99"/>
    <w:rsid w:val="7FFB5EA1"/>
    <w:rsid w:val="7FFFD4B6"/>
    <w:rsid w:val="7FFFFAFE"/>
    <w:rsid w:val="8B7F77CC"/>
    <w:rsid w:val="8FFF6C75"/>
    <w:rsid w:val="91FA9BDC"/>
    <w:rsid w:val="95DED471"/>
    <w:rsid w:val="9BFF29DD"/>
    <w:rsid w:val="9E3FB678"/>
    <w:rsid w:val="9F7D1A10"/>
    <w:rsid w:val="9F9B20A4"/>
    <w:rsid w:val="9FCB3E94"/>
    <w:rsid w:val="9FE59341"/>
    <w:rsid w:val="A5FFEBDA"/>
    <w:rsid w:val="A7FD51D7"/>
    <w:rsid w:val="A95F997C"/>
    <w:rsid w:val="ADFF8B55"/>
    <w:rsid w:val="AFF95DAB"/>
    <w:rsid w:val="AFFE3C7E"/>
    <w:rsid w:val="B161C39D"/>
    <w:rsid w:val="B2DFDFB4"/>
    <w:rsid w:val="B5F1AE9A"/>
    <w:rsid w:val="B76764BD"/>
    <w:rsid w:val="B7FF634E"/>
    <w:rsid w:val="B7FFCFAA"/>
    <w:rsid w:val="BA6D2E72"/>
    <w:rsid w:val="BA6FBF72"/>
    <w:rsid w:val="BAFBF6F0"/>
    <w:rsid w:val="BBDB70C1"/>
    <w:rsid w:val="BBFE8925"/>
    <w:rsid w:val="BC7F7D98"/>
    <w:rsid w:val="BDC56C3A"/>
    <w:rsid w:val="BDEF005B"/>
    <w:rsid w:val="BDFF8C45"/>
    <w:rsid w:val="BE7FBC54"/>
    <w:rsid w:val="BEE375F1"/>
    <w:rsid w:val="BEEF1135"/>
    <w:rsid w:val="BF6D2808"/>
    <w:rsid w:val="BF97C1AC"/>
    <w:rsid w:val="BFB78D45"/>
    <w:rsid w:val="BFFE88AB"/>
    <w:rsid w:val="BFFF3E5F"/>
    <w:rsid w:val="CABE70F0"/>
    <w:rsid w:val="CBFF60E0"/>
    <w:rsid w:val="CDFB8954"/>
    <w:rsid w:val="CEDB6703"/>
    <w:rsid w:val="CEFD0044"/>
    <w:rsid w:val="D767D76F"/>
    <w:rsid w:val="D7FD38E8"/>
    <w:rsid w:val="D97CBD79"/>
    <w:rsid w:val="D9BFFC42"/>
    <w:rsid w:val="D9DA21C6"/>
    <w:rsid w:val="D9F4CA69"/>
    <w:rsid w:val="DB3B6E07"/>
    <w:rsid w:val="DBE790BF"/>
    <w:rsid w:val="DBEFA7F7"/>
    <w:rsid w:val="DBF677D9"/>
    <w:rsid w:val="DBFF7ABA"/>
    <w:rsid w:val="DCFD0882"/>
    <w:rsid w:val="DD5693EE"/>
    <w:rsid w:val="DD783C05"/>
    <w:rsid w:val="DD9F9EBB"/>
    <w:rsid w:val="DF3405F9"/>
    <w:rsid w:val="DF6D721D"/>
    <w:rsid w:val="DF7A403A"/>
    <w:rsid w:val="DFB4A49A"/>
    <w:rsid w:val="DFDFC35B"/>
    <w:rsid w:val="DFEFCE83"/>
    <w:rsid w:val="DFFFBD2A"/>
    <w:rsid w:val="E37957A3"/>
    <w:rsid w:val="E5871BDF"/>
    <w:rsid w:val="E5FFF42E"/>
    <w:rsid w:val="E66B91D8"/>
    <w:rsid w:val="E6EF97F2"/>
    <w:rsid w:val="E6FF7CDF"/>
    <w:rsid w:val="E77F8E81"/>
    <w:rsid w:val="E85B9FB7"/>
    <w:rsid w:val="EA6B52FA"/>
    <w:rsid w:val="EA7CCA72"/>
    <w:rsid w:val="EB7D27FC"/>
    <w:rsid w:val="EBB7CC5D"/>
    <w:rsid w:val="EBFFA4D8"/>
    <w:rsid w:val="ED9FC74A"/>
    <w:rsid w:val="EDF77AF0"/>
    <w:rsid w:val="EE23A7F3"/>
    <w:rsid w:val="EE7FE44D"/>
    <w:rsid w:val="EEAF8F4A"/>
    <w:rsid w:val="EEFC9029"/>
    <w:rsid w:val="EF5F80B7"/>
    <w:rsid w:val="EF76DAF0"/>
    <w:rsid w:val="EF77337B"/>
    <w:rsid w:val="EFC6EC68"/>
    <w:rsid w:val="EFDFBF03"/>
    <w:rsid w:val="F1E22C1F"/>
    <w:rsid w:val="F1FA9694"/>
    <w:rsid w:val="F37FEEEF"/>
    <w:rsid w:val="F53EA530"/>
    <w:rsid w:val="F55BB528"/>
    <w:rsid w:val="F5BEC0EF"/>
    <w:rsid w:val="F5DD2AB2"/>
    <w:rsid w:val="F5E7E6DA"/>
    <w:rsid w:val="F5FF5BDB"/>
    <w:rsid w:val="F6679FC5"/>
    <w:rsid w:val="F6FFB061"/>
    <w:rsid w:val="F737CD48"/>
    <w:rsid w:val="F7555023"/>
    <w:rsid w:val="F76F84D2"/>
    <w:rsid w:val="F77381BD"/>
    <w:rsid w:val="F77DDCA0"/>
    <w:rsid w:val="F7A38BD6"/>
    <w:rsid w:val="F7DF31DD"/>
    <w:rsid w:val="F7E2F96B"/>
    <w:rsid w:val="F7EAFD32"/>
    <w:rsid w:val="F86F7A09"/>
    <w:rsid w:val="FA0FC1A1"/>
    <w:rsid w:val="FA4F35E8"/>
    <w:rsid w:val="FA5B2049"/>
    <w:rsid w:val="FABFB88B"/>
    <w:rsid w:val="FAF968A8"/>
    <w:rsid w:val="FAFE7486"/>
    <w:rsid w:val="FAFF647C"/>
    <w:rsid w:val="FAFFBA52"/>
    <w:rsid w:val="FB51D859"/>
    <w:rsid w:val="FB69A27D"/>
    <w:rsid w:val="FBC60749"/>
    <w:rsid w:val="FBDA1CEF"/>
    <w:rsid w:val="FBED48D1"/>
    <w:rsid w:val="FBFBF3BE"/>
    <w:rsid w:val="FCBB244E"/>
    <w:rsid w:val="FCFCD9C7"/>
    <w:rsid w:val="FD3EF725"/>
    <w:rsid w:val="FDDB37C2"/>
    <w:rsid w:val="FDDFA173"/>
    <w:rsid w:val="FDF38210"/>
    <w:rsid w:val="FDFC0045"/>
    <w:rsid w:val="FE5F40F8"/>
    <w:rsid w:val="FE8F592F"/>
    <w:rsid w:val="FEB7ACE1"/>
    <w:rsid w:val="FEBB90B9"/>
    <w:rsid w:val="FEDFC323"/>
    <w:rsid w:val="FEEA740A"/>
    <w:rsid w:val="FEEC7B8B"/>
    <w:rsid w:val="FEED5B85"/>
    <w:rsid w:val="FEFCD355"/>
    <w:rsid w:val="FEFFABEC"/>
    <w:rsid w:val="FF4F313A"/>
    <w:rsid w:val="FF5FF7C9"/>
    <w:rsid w:val="FF7EE842"/>
    <w:rsid w:val="FF9C231C"/>
    <w:rsid w:val="FFAF8EBE"/>
    <w:rsid w:val="FFBFB48C"/>
    <w:rsid w:val="FFBFDF6A"/>
    <w:rsid w:val="FFE668D8"/>
    <w:rsid w:val="FFE697F7"/>
    <w:rsid w:val="FFE764E7"/>
    <w:rsid w:val="FFEBBE11"/>
    <w:rsid w:val="FFEE0001"/>
    <w:rsid w:val="FFEF96E2"/>
    <w:rsid w:val="FFF5CF4A"/>
    <w:rsid w:val="FFF9EA7E"/>
    <w:rsid w:val="FFFA85D8"/>
    <w:rsid w:val="FFFB81E6"/>
    <w:rsid w:val="FFFB8681"/>
    <w:rsid w:val="FFFFE8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Title"/>
    <w:basedOn w:val="1"/>
    <w:next w:val="1"/>
    <w:qFormat/>
    <w:uiPriority w:val="0"/>
    <w:pPr>
      <w:spacing w:before="240" w:after="60"/>
      <w:jc w:val="center"/>
      <w:outlineLvl w:val="0"/>
    </w:pPr>
    <w:rPr>
      <w:rFonts w:ascii="Calibri Light" w:hAnsi="Calibri Light"/>
      <w:b/>
      <w:bCs/>
      <w:sz w:val="32"/>
      <w:szCs w:val="32"/>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Words>
  <Characters>86</Characters>
  <Lines>0</Lines>
  <Paragraphs>0</Paragraphs>
  <TotalTime>54</TotalTime>
  <ScaleCrop>false</ScaleCrop>
  <LinksUpToDate>false</LinksUpToDate>
  <CharactersWithSpaces>123</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2025-08-11T09:49:00Z</dcterms:created>
  <dc:creator>欧毓芳</dc:creator>
  <cp:lastModifiedBy>jcak1</cp:lastModifiedBy>
  <cp:lastPrinted>2025-09-06T01:44:00Z</cp:lastPrinted>
  <dcterms:modified xsi:type="dcterms:W3CDTF">2025-09-19T17:00:44Z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5DE2BF0F5291EDFD1FDB8968C228E552_42</vt:lpwstr>
  </property>
  <property fmtid="{D5CDD505-2E9C-101B-9397-08002B2CF9AE}" pid="4" name="KSOTemplateDocerSaveRecord">
    <vt:lpwstr>eyJoZGlkIjoiNzcxNmIwYTk1ZTNjMGM2OGJkMDgxOTMxNGFiYjViZjAiLCJ1c2VySWQiOiIxNTIyNjUwNjAxIn0=</vt:lpwstr>
  </property>
</Properties>
</file>