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1"/>
        </w:tabs>
        <w:spacing w:line="58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pacing w:val="-10"/>
          <w:sz w:val="10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-191770</wp:posOffset>
                </wp:positionV>
                <wp:extent cx="1530985" cy="2324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30985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04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5pt;margin-top:-15.1pt;height:183pt;width:120.55pt;z-index:251658240;mso-width-relative:page;mso-height-relative:page;" filled="f" stroked="f" coordsize="21600,21600" o:gfxdata="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POO1h2QAAAAsBAAAPAAAAAAAAAAEAIAAAADgAAABkcnMvZG93bnJldi54bWxQSwECFAAUAAAA&#10;CACHTuJAB0aZe54BAAAQAwAADgAAAAAAAAABACAAAAA+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ind w:left="1958" w:leftChars="304" w:hanging="1320" w:hangingChars="3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泉州市202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年度</w:t>
      </w:r>
    </w:p>
    <w:p>
      <w:pPr>
        <w:ind w:left="1958" w:leftChars="304" w:hanging="1320" w:hangingChars="3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中央财政林业专项资金绩效自评报告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一、基本情况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2023年度，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省上下达我市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中央财政林业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专项资金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6854.95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万元（不包含国土绿化试点示范项目、森林综合保险保费补贴）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，其中：中央财政生态恢复保护资金826.99万元（闽财资环指〔2023〕64号、闽财资环指〔2023〕21号），中央财政林业改革发展资金6027.96万元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（闽财资环指〔2022〕63号、闽财资环指〔2022〕62号、闽财资环指〔2023〕21号、闽财资环指〔2023〕37号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），并同步下达绩效目标。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二、综合评价结论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截止至2023年12月31日，中央财政专项资金6854.95万元，实际支出金额5930.51万元，实际支出率86.51%；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共涉及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31个指标，完成31个指标，完成100%，综合评价为优秀。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  <w:t>、绩效情况分析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</w:rPr>
        <w:t>资金情况分析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我市分别以泉财指标〔2023〕591号、泉财指标〔2023〕9号，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将下达到我市中央财政林业专项资金6854.95万元，及时分解到有关县（市、区）。同时，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将省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下达我市绩效目标转下达给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有关县（市、区）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其中：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中央财政生态恢复保护资金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826.99万元，其中：国家级自然保护区补助50万元，国家重点动植物保护7.85万元，天然商品林停伐补助660万元，国有林保护修复补助109.14万元。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中央财政林业改革发展资金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6027.96万元，其中：非国有林生态保护补偿3825.46万元、森林防火69万元、林业有害生物防治补贴1767.5万元、林业科技推广示范补助366万元。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" w:eastAsia="zh-CN"/>
        </w:rPr>
        <w:t>（二）资金管理情况分析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2023年度，市级按规定将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中央财政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林业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专项资金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6854.95万元，分解下达至有关县（市、区），由县（市、区）拨付给资金使用单位。县（市、区）共收到中央专项资金6854.95万元；中央专项资金实际支出5930.51万元，资金实际支出率86.51%。其中：国家级自然保护区补助50万元，实际支出50万元，实际支出率100%；国家重点动植物保护7.85万元，实际支出金额7.85万元，实际支出率100%；天然商品林停伐补助660万元，实际支出225万元，实际支出率34.09%；国有林保护修复补助109.14万元，实际支出109.14万元，实际支出率100%；非国有林生态保护补偿支出3825.46万元，实际支出3778.21万元，实际支出率98.76%；森林防火69万元，实际支出69万元，实际支出率100%；林业有害生物防治1767.5万元，实际支出1564.79万元，实际支出率88.53%；林草科技推广示范补助366万元（2023-2024年项目），实际支出126.52万元，实际支出率34.57%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</w:rPr>
        <w:t>总体绩效目标完成情况分析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通过项目实施，完成非国有林生态保护补偿面积203.11万亩，林业有害生物防治任务作业面积51.16万亩，互花米草除治任务面积1.9061万亩，林业科技推广项目4个，原天保工程区外国有天然商品林面积3.7654万亩，国有国家级公益林面积2.7309万亩，国家级自然保护区1个，林草系统管理的一级古树和名木开展抢救复壮2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</w:rPr>
        <w:t>绩效指标完成情况分析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2023年度泉州市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中央财政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林业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专项资金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共涉及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31个指标，完成31个指标，完成100%，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其中：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1. 产出指标完成情况分析。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（1）数量指标10个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国家自然保护区数量1个，全年实际完成值1个；林草系统管理的一级古树和名木开展抢救复壮数量2株，全年实际完成值2株；原天保工程区外国有天然商品林面积3.7654万亩，全年实际完成值3.7654万亩；国有国家级公益林面积2.7309万亩，全年实际完成值2.7309万亩；非国有林生态保护补偿面积203.11万亩（其中：国家级公益林37.51万亩，已落实管护责任的天然商品林165.6万亩），完成100%；美国白蛾等其他重大林业有害生物防治任务47.15万亩，完成108.5%；互花米草除治任务面积1.9061万亩，全年实际完成值1.9061万亩；林业科技推广项目4个，全年实际完成值4个。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质量指标4个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天然林资源森林蓄积量增长情况，持续增长；林草系统管理的名木和一级古树抢救复壮合格率≥90%；森林火灾受害率≤9‰；非国有林管护责任落实率100%。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时效指标4个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国家级自然保护区能力提升当期任务完成率≥90%；国有林管护补助兑现率100%；非国有林保护补偿当期任务完成率≥90%；非国有林生态保护补偿当期任务完成率≥85%。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（4）成本指标2个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国有林管护补助成本10元/亩，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全年实际完成值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10元/亩；非国有林生态保护补偿中央财政补助标准16元/亩，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全年实际完成值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16元/亩。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2.效益指标9个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（1）社会效益指标1个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林区民生状况，逐步改善；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生态效益指标5个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生态系统和生物多样性，得到有效保护；森林、湿地生态系统生态效益发挥，明显；生态系统和生物多样性保护情况，持续加强；非国有林管护效果，得到有效保护；森林、草原生态系统生态效益发挥，明显。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（3）可持续影响指标3个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持续发挥森林资源生态作用，显著；国家公园所在地生态环境质量，逐步提升；森林、草原、荒漠生态系统功能改善可持续影响，明显。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200" w:right="0" w:rightChars="0" w:firstLine="321" w:firstLineChars="100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3.服务对象满意度指标2个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林区职工及周边群众满意度≥85%；项目涉及职工、群众满意度≥85%，达到预期目标。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截止至2023年12月31日，中央财政专项资金6854.95万元，实际支出金额5930.51万元，实际支出率86.51%，未支出924.44万元，其中：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天然商品林停伐补助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435万元（永春275万元，德化160万元）；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非国有林生态保护补偿未支出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47.25万元（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晋江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0.18万元、安溪47.07万元）；林业有害生物防治补助202.71万元（台商83.81万元、惠安82.9万元、永春36万元）；林草科技推广示范补助239.48万元（2023-2024年项目，其中：市林业局81.48万元、洛江93万元、65万元）。主要原因：一是部分资金下达迟，部分天然商品林停伐补助，资金于12月中下旬下达，二是项目按合同进度拨付，项目未验收，影响项目资金支出进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" w:eastAsia="zh-CN" w:bidi="ar-SA"/>
        </w:rPr>
        <w:t>改进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" w:eastAsia="zh-CN"/>
        </w:rPr>
        <w:t>措施：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一是加强沟通，确保资金及时到位；</w:t>
      </w:r>
      <w:r>
        <w:rPr>
          <w:rStyle w:val="9"/>
          <w:rFonts w:hint="default" w:ascii="Times New Roman" w:hAnsi="Times New Roman" w:eastAsia="方正仿宋简体" w:cs="Times New Roman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是强化资金执行进度管理，按照项目合同，在确保施工质量的前提下，加快施工进度，按项目实施进度，及时拨付专项资金，提高财政专项资金的使用效率。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绩效自评结果拟应用和公开情况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绩效自评结果将用于指导下一步的资金使用支出，进一步强化资金使用效益、提升预算决策和管理水平，自评结果将在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泉州市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林业局公开栏进行公示，接受监督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五、其他需要说明的问题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baseline"/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  <w:r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  <w:t xml:space="preserve"> </w:t>
      </w:r>
    </w:p>
    <w:p>
      <w:pPr>
        <w:pStyle w:val="2"/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pStyle w:val="2"/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pStyle w:val="2"/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pStyle w:val="2"/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泉州市2023年度中央财政林业专项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资金绩效自评报告（国土绿化试点示范项目）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2023年度省财政厅、省林业局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关于下达2023年中央财政林业草原改革发展资金（国土绿化试点示范项目）的通知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》（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闽财资环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指〔2023〕15号）下达我市国土绿化试点示范项目补助资金20000万元（项目建设期为2023-2024年）。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我市根据申报情况和造林绿化年度任务安排情况，以《泉州市财政局 泉州市林业局关于下达泉州市21世纪海丝名城国土绿化试点示范项目补助资金（首批）的通知》（泉财指标〔2023〕652号）和《泉州市财政局 泉州市林业局关于下达泉州市21世纪海丝名城国土绿化试点示范项目补助资金（第二批）的通知》（泉财指标〔2024〕16号），将资金和绩效目标分解下达至各相关县（市、区），推进项目实施。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中央财政林业改发展资金国土绿化专项20000万元下达我市后，我市及时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资金和绩效目标分解下达至各相关县（市、区）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。根据各相关县（市、区）自评，资金投入情况分析如下：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中央财政林业改发展资金国土绿化专项资金20000万元，到位20000万元，实际支出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5233.31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万元，实际支出率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26.17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资金管理情况分析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资金使用符合国家法规和财务管理制度以及有关专项资金管理办法。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经组织项目县开展绩效目标自评汇总，我市2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年度实际完成人工造林面积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0.5713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万亩、退化林修复面积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14.5325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万亩，完成年度绩效目标。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绩效指标完成情况分析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1.数量指标分析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下达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eastAsia="zh-CN"/>
        </w:rPr>
        <w:t>数量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标2个，完成2个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人工造林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任务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0.5711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亩，完成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0.5713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亩，完成计划的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退化林修复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任务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14.3809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亩，完成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14.5323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亩，完成计划的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2.质量指标分析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下达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eastAsia="zh-CN"/>
        </w:rPr>
        <w:t>质量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标3个，完成3个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经组织项目县开展绩效目标自评汇总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，人工造林成活率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90%，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退化林修复验收合格率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95%，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主要用材树种林木良种使用率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3.时效指标分析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下达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eastAsia="zh-CN"/>
        </w:rPr>
        <w:t>时效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标1个，完成1个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年度任务完成率100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4.成本指标分析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下达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eastAsia="zh-CN"/>
        </w:rPr>
        <w:t>成本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标4个，完成4个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5.效益指标分析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下达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eastAsia="zh-CN"/>
        </w:rPr>
        <w:t>成本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标3个，完成3个。带动就业人数0.39万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人、对区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spacing w:val="-6"/>
          <w:kern w:val="0"/>
          <w:sz w:val="32"/>
          <w:szCs w:val="32"/>
          <w:lang w:val="en-US" w:eastAsia="zh-CN"/>
        </w:rPr>
        <w:t>域生态系统功能改善的促进作用明显、预计碳汇增量</w:t>
      </w:r>
      <w:r>
        <w:rPr>
          <w:rFonts w:hint="default" w:ascii="Times New Roman" w:hAnsi="Times New Roman" w:eastAsia="方正仿宋简体" w:cs="Times New Roman"/>
          <w:color w:val="auto"/>
          <w:spacing w:val="-6"/>
          <w:sz w:val="32"/>
          <w:szCs w:val="32"/>
          <w:lang w:val="en-US" w:eastAsia="zh-CN"/>
        </w:rPr>
        <w:t>7.8万吨/年</w:t>
      </w:r>
      <w:r>
        <w:rPr>
          <w:rFonts w:hint="eastAsia" w:ascii="Times New Roman" w:hAnsi="Times New Roman" w:eastAsia="方正仿宋简体" w:cs="Times New Roman"/>
          <w:color w:val="auto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6.满意度指标分析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下达满意度指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标1个，完成1个，具体为项目区群众满意度90%。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无</w:t>
      </w:r>
    </w:p>
    <w:p>
      <w:pPr>
        <w:pStyle w:val="2"/>
        <w:rPr>
          <w:rStyle w:val="12"/>
          <w:rFonts w:hint="default" w:ascii="Times New Roman" w:hAnsi="Times New Roman" w:eastAsia="方正仿宋简体" w:cs="Times New Roman"/>
          <w:color w:val="auto"/>
          <w:sz w:val="32"/>
          <w:szCs w:val="32"/>
          <w:lang w:val="en-US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泉州市2023年度中央级森林综合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保险财政保费补贴资金绩效评价报告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2022年度福建省财政厅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关于提前下达2023年森林综合保险财政保费补贴的通知》（闽财金指〔2022〕12号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下达我市中央级森林综合保险财政保费补贴资金450万元，省级配套320万元。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我市根据任务安排情况，以《泉州市财政局 泉州市林业局关于提前下达2023年森林综合保险财政保费补贴资金的通知》（泉财指标〔2022〕1123号），将资金和绩效目标分解下达至各相关县（市、区），推进项目实施。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二、绩效情况分析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中央级森林综合保险财政保费补贴资金450万元和省级配套财政保费补贴资金320万元下达我市后，我市及时将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资金和绩效目标分解下达至各相关县（市、区）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。根据各相关县（市、区）自评，资金投入情况分析如下：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中央级森林综合保险财政保费补贴资金450万元，到位450万元，实际支出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396.31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万元，实际支出率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88.07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%；省级配套财政保费补贴资金320万元，实际支出257.91075万元，实际支出率80.61%。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（二）资金管理情况分析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资金使用符合国家法规和财务管理制度以及有关专项资金管理办法。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（三）总体绩效目标完成情况分析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经汇总各个绩效目标自评汇总，我市2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年度均完成年度绩效目标。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auto"/>
          <w:sz w:val="32"/>
          <w:szCs w:val="32"/>
          <w:lang w:val="en-US" w:eastAsia="zh-CN"/>
        </w:rPr>
        <w:t>（四）绩效指标完成情况分析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1.数量指标分析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下达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量指标1个，完成1个。中央财政保费补贴比例，指标值35%-47.5%，实际完成值40.25%，完成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计划的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2.质量指标分析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下达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eastAsia="zh-CN"/>
        </w:rPr>
        <w:t>质量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指标2个，完成2个。绝对免赔额指标，完成值为根据省级方案受灾面积≤100亩，免赔率10%；受灾面积&gt;100亩，免赔面积10亩。风险保障水平，指标值高于去年，接近直接物化成本，全年实际完成值860元/亩。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 w:firstLine="321" w:firstLineChars="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</w:rPr>
        <w:t>效益指标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达成本指标2个，完成2个。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经济效益指标：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风险保障总额（投保面积×每亩保险金额），指标值高于去年，实际完成值60.19亿元。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农业保险综合费用率，指标值≤20%，实际完成值14.25%。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社会效益指标：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经办机构县级分支机构覆盖率，指标值100%，全年实</w:t>
      </w: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际完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成值100%。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</w:rPr>
        <w:t>满意度指标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下达满意度指标2个，完成2个。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服务对象满意度指标：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承保理赔公示率，指标值100%，全年实际完成值100%。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参保农户满意度，指标值≥80%，全年实际完成值100%。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无</w:t>
      </w:r>
    </w:p>
    <w:p>
      <w:pPr>
        <w:pStyle w:val="2"/>
        <w:rPr>
          <w:rFonts w:hint="default" w:ascii="Times New Roman" w:hAnsi="Times New Roman" w:eastAsia="方正仿宋简体" w:cs="Times New Roman"/>
          <w:color w:val="auto"/>
          <w:lang w:val="en-US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lang w:val="en-US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lang w:val="en-US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lang w:val="en-US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lang w:val="en-US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lang w:val="en-US"/>
        </w:rPr>
      </w:pPr>
    </w:p>
    <w:p>
      <w:pPr>
        <w:pStyle w:val="2"/>
        <w:rPr>
          <w:rFonts w:hint="default" w:ascii="Times New Roman" w:hAnsi="Times New Roman" w:eastAsia="方正仿宋简体" w:cs="Times New Roman"/>
          <w:color w:val="auto"/>
          <w:lang w:val="en-US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lang w:val="en-US"/>
        </w:rPr>
        <w:sectPr>
          <w:footerReference r:id="rId3" w:type="default"/>
          <w:pgSz w:w="11906" w:h="16838"/>
          <w:pgMar w:top="1871" w:right="1249" w:bottom="1871" w:left="1417" w:header="851" w:footer="1417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default"/>
          <w:lang w:val="en-US"/>
        </w:rPr>
      </w:pPr>
    </w:p>
    <w:tbl>
      <w:tblPr>
        <w:tblW w:w="128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047"/>
        <w:gridCol w:w="1047"/>
        <w:gridCol w:w="1047"/>
        <w:gridCol w:w="1110"/>
        <w:gridCol w:w="721"/>
        <w:gridCol w:w="592"/>
        <w:gridCol w:w="624"/>
        <w:gridCol w:w="979"/>
        <w:gridCol w:w="457"/>
        <w:gridCol w:w="664"/>
        <w:gridCol w:w="979"/>
        <w:gridCol w:w="505"/>
        <w:gridCol w:w="608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2023年度林业专项资金执行情况表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7" w:hRule="atLeast"/>
        </w:trPr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中央资金（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年度）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省级资金（</w:t>
            </w:r>
            <w:r>
              <w:rPr>
                <w:rStyle w:val="15"/>
                <w:rFonts w:eastAsia="宋体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14"/>
                <w:bdr w:val="none" w:color="auto" w:sz="0" w:space="0"/>
                <w:lang w:val="en-US" w:eastAsia="zh-CN" w:bidi="ar"/>
              </w:rPr>
              <w:t>年度）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结余结转资金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省级安排下达金额①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已到位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金额②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实际支出金额③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实际支出率④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=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省级安排下达金额①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已到位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金额②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实际支出金额③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实际支出率④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=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安排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金额①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实际支出金额②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实际支出率③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=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①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安排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金额①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实际支出金额②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实际支出率③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=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Style w:val="17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6854.95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6854.95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5930.51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中央财政生态恢复保护资金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国家公园支出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国家级自然保护区补助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湿地保护修复补助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国家重点动植物保护支出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天然商品林停伐补助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34.09%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国有林保护修复补助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中央财政林业改革发展资金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91.88%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造林补助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森林质量提升补助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非国有林生态保护补偿支出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3825.46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3778.21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98.76%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森林防火补助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林业有害生物防治补助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林草科技推广示范补助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34.57%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林木良种培育补助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林长制督查考核奖励支出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航空消防租机经费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国土绿化试点示范（莆田、泉州）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林草湿荒综合监测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bdr w:val="none" w:color="auto" w:sz="0" w:space="0"/>
                <w:lang w:val="en-US" w:eastAsia="zh-CN" w:bidi="ar"/>
              </w:rPr>
              <w:t>油茶发展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ectPr>
          <w:pgSz w:w="16838" w:h="11906" w:orient="landscape"/>
          <w:pgMar w:top="1417" w:right="1871" w:bottom="1247" w:left="1871" w:header="851" w:footer="1417" w:gutter="0"/>
          <w:paperSrc/>
          <w:pgNumType w:fmt="decimal"/>
          <w:cols w:space="0" w:num="1"/>
          <w:rtlGutter w:val="0"/>
          <w:docGrid w:type="lines" w:linePitch="318" w:charSpace="0"/>
        </w:sect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786120" cy="8087995"/>
            <wp:effectExtent l="0" t="0" r="5080" b="8255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80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/>
        </w:rPr>
      </w:pPr>
      <w:r>
        <w:drawing>
          <wp:inline distT="0" distB="0" distL="114300" distR="114300">
            <wp:extent cx="5067300" cy="6448425"/>
            <wp:effectExtent l="0" t="0" r="0" b="9525"/>
            <wp:docPr id="9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527675" cy="7776210"/>
            <wp:effectExtent l="0" t="0" r="15875" b="15240"/>
            <wp:docPr id="5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77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ectPr>
          <w:pgSz w:w="11906" w:h="16838"/>
          <w:pgMar w:top="1871" w:right="1247" w:bottom="1871" w:left="1417" w:header="851" w:footer="1417" w:gutter="0"/>
          <w:paperSrc/>
          <w:pgNumType w:fmt="decimal"/>
          <w:cols w:space="0" w:num="1"/>
          <w:rtlGutter w:val="0"/>
          <w:docGrid w:type="lines" w:linePitch="318" w:charSpace="0"/>
        </w:sectPr>
      </w:pPr>
    </w:p>
    <w:p>
      <w:pPr>
        <w:pStyle w:val="2"/>
        <w:rPr>
          <w:rFonts w:hint="default"/>
          <w:lang w:val="en-US"/>
        </w:rPr>
      </w:pPr>
      <w:r>
        <w:drawing>
          <wp:inline distT="0" distB="0" distL="114300" distR="114300">
            <wp:extent cx="8028940" cy="6096635"/>
            <wp:effectExtent l="0" t="0" r="10160" b="18415"/>
            <wp:docPr id="7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28940" cy="609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/>
        </w:rPr>
      </w:pPr>
      <w:r>
        <w:drawing>
          <wp:inline distT="0" distB="0" distL="114300" distR="114300">
            <wp:extent cx="8668385" cy="5825490"/>
            <wp:effectExtent l="0" t="0" r="18415" b="3810"/>
            <wp:docPr id="8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8385" cy="582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17" w:right="1871" w:bottom="1247" w:left="1871" w:header="851" w:footer="1417" w:gutter="0"/>
      <w:paperSrc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简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F50E9"/>
    <w:multiLevelType w:val="singleLevel"/>
    <w:tmpl w:val="97FF50E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8E6A6B"/>
    <w:multiLevelType w:val="singleLevel"/>
    <w:tmpl w:val="F68E6A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1FE7E3D"/>
    <w:multiLevelType w:val="singleLevel"/>
    <w:tmpl w:val="71FE7E3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2FCF57"/>
    <w:multiLevelType w:val="singleLevel"/>
    <w:tmpl w:val="752FCF57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7BFC7E11"/>
    <w:multiLevelType w:val="singleLevel"/>
    <w:tmpl w:val="7BFC7E1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B129"/>
    <w:rsid w:val="07DA3DBE"/>
    <w:rsid w:val="0AAD3F29"/>
    <w:rsid w:val="0BBC6CB0"/>
    <w:rsid w:val="13FABFD2"/>
    <w:rsid w:val="14979392"/>
    <w:rsid w:val="17C7CA5A"/>
    <w:rsid w:val="17F53432"/>
    <w:rsid w:val="1BF98A4E"/>
    <w:rsid w:val="1E1659FE"/>
    <w:rsid w:val="1E77479E"/>
    <w:rsid w:val="1F3C0232"/>
    <w:rsid w:val="1F5F7E37"/>
    <w:rsid w:val="1FF7F16B"/>
    <w:rsid w:val="237F1E94"/>
    <w:rsid w:val="237F2A99"/>
    <w:rsid w:val="25D444B6"/>
    <w:rsid w:val="26FE7D5D"/>
    <w:rsid w:val="2ADA1CC6"/>
    <w:rsid w:val="2B9F680C"/>
    <w:rsid w:val="2DFF4583"/>
    <w:rsid w:val="2ED2E78A"/>
    <w:rsid w:val="2ED7A301"/>
    <w:rsid w:val="2EFF5668"/>
    <w:rsid w:val="3237F345"/>
    <w:rsid w:val="34DF4295"/>
    <w:rsid w:val="34F1137D"/>
    <w:rsid w:val="37FE6996"/>
    <w:rsid w:val="387DD493"/>
    <w:rsid w:val="387FE716"/>
    <w:rsid w:val="39F7FCE0"/>
    <w:rsid w:val="3BBF2790"/>
    <w:rsid w:val="3BE7D092"/>
    <w:rsid w:val="3BEDD2BF"/>
    <w:rsid w:val="3BFF6B74"/>
    <w:rsid w:val="3C4FA90A"/>
    <w:rsid w:val="3CBF5DB4"/>
    <w:rsid w:val="3CCF77A1"/>
    <w:rsid w:val="3CF732D8"/>
    <w:rsid w:val="3CFB5427"/>
    <w:rsid w:val="3DC7BF58"/>
    <w:rsid w:val="3DF92A77"/>
    <w:rsid w:val="3E3D7BC0"/>
    <w:rsid w:val="3EBAC61A"/>
    <w:rsid w:val="3EF93CE5"/>
    <w:rsid w:val="3EFF0B23"/>
    <w:rsid w:val="3F9F62FB"/>
    <w:rsid w:val="3FA760C3"/>
    <w:rsid w:val="3FBC9777"/>
    <w:rsid w:val="3FDF5202"/>
    <w:rsid w:val="3FF77D90"/>
    <w:rsid w:val="3FFA2F25"/>
    <w:rsid w:val="3FFE9D0B"/>
    <w:rsid w:val="43BF4BA2"/>
    <w:rsid w:val="47ED4C35"/>
    <w:rsid w:val="47FF7CA6"/>
    <w:rsid w:val="49770F84"/>
    <w:rsid w:val="4BF867FA"/>
    <w:rsid w:val="4DFFA6A8"/>
    <w:rsid w:val="4E3F413C"/>
    <w:rsid w:val="4EFE16EA"/>
    <w:rsid w:val="4FBF33EF"/>
    <w:rsid w:val="4FC3D1D0"/>
    <w:rsid w:val="4FECDEA7"/>
    <w:rsid w:val="4FF354E0"/>
    <w:rsid w:val="4FF3AE5A"/>
    <w:rsid w:val="57FE5DF0"/>
    <w:rsid w:val="57FF623E"/>
    <w:rsid w:val="59EDDA3A"/>
    <w:rsid w:val="5A7C6CCD"/>
    <w:rsid w:val="5B5F73B6"/>
    <w:rsid w:val="5BB70A5E"/>
    <w:rsid w:val="5BBD051C"/>
    <w:rsid w:val="5BFFC536"/>
    <w:rsid w:val="5D791DF9"/>
    <w:rsid w:val="5D7FE8DB"/>
    <w:rsid w:val="5DDD2FC0"/>
    <w:rsid w:val="5DFF746F"/>
    <w:rsid w:val="5ECBDA84"/>
    <w:rsid w:val="5EDF32F3"/>
    <w:rsid w:val="5EF5A51D"/>
    <w:rsid w:val="5F7D58D9"/>
    <w:rsid w:val="5FC4465A"/>
    <w:rsid w:val="5FCBD9D4"/>
    <w:rsid w:val="5FCFC629"/>
    <w:rsid w:val="5FE612E9"/>
    <w:rsid w:val="5FE88524"/>
    <w:rsid w:val="5FF726EF"/>
    <w:rsid w:val="5FFBC424"/>
    <w:rsid w:val="5FFE7564"/>
    <w:rsid w:val="5FFEE7BE"/>
    <w:rsid w:val="62F9D081"/>
    <w:rsid w:val="64BE3443"/>
    <w:rsid w:val="65F70216"/>
    <w:rsid w:val="66DE5B9A"/>
    <w:rsid w:val="677C2956"/>
    <w:rsid w:val="67DD322F"/>
    <w:rsid w:val="6B4C3E8B"/>
    <w:rsid w:val="6B77DAF5"/>
    <w:rsid w:val="6B7FA159"/>
    <w:rsid w:val="6CFD514B"/>
    <w:rsid w:val="6D6BC748"/>
    <w:rsid w:val="6DFEEA43"/>
    <w:rsid w:val="6E6C1C49"/>
    <w:rsid w:val="6EFE89D1"/>
    <w:rsid w:val="6F3C88CA"/>
    <w:rsid w:val="6FAD67FE"/>
    <w:rsid w:val="6FCBE351"/>
    <w:rsid w:val="6FD32665"/>
    <w:rsid w:val="6FDE9B35"/>
    <w:rsid w:val="6FE6C421"/>
    <w:rsid w:val="6FEA5A71"/>
    <w:rsid w:val="6FEDEB26"/>
    <w:rsid w:val="6FF25E6B"/>
    <w:rsid w:val="6FF7C911"/>
    <w:rsid w:val="6FFB854F"/>
    <w:rsid w:val="6FFF9CFF"/>
    <w:rsid w:val="71FB58E0"/>
    <w:rsid w:val="72FE1FB9"/>
    <w:rsid w:val="73DED57C"/>
    <w:rsid w:val="74D7DB2C"/>
    <w:rsid w:val="74DE6EF0"/>
    <w:rsid w:val="75FD6CFB"/>
    <w:rsid w:val="76F9B5A1"/>
    <w:rsid w:val="76FB4883"/>
    <w:rsid w:val="76FDF1A5"/>
    <w:rsid w:val="775674CD"/>
    <w:rsid w:val="77728901"/>
    <w:rsid w:val="77AB1D1B"/>
    <w:rsid w:val="77EE585E"/>
    <w:rsid w:val="77F496CA"/>
    <w:rsid w:val="77FB8275"/>
    <w:rsid w:val="77FD7784"/>
    <w:rsid w:val="77FFC36E"/>
    <w:rsid w:val="782D534D"/>
    <w:rsid w:val="796EC53E"/>
    <w:rsid w:val="7AF9CD5E"/>
    <w:rsid w:val="7AFDA403"/>
    <w:rsid w:val="7B2EFFBA"/>
    <w:rsid w:val="7B5DD284"/>
    <w:rsid w:val="7B7C2913"/>
    <w:rsid w:val="7B9B4A1C"/>
    <w:rsid w:val="7BB77AE0"/>
    <w:rsid w:val="7BBA5BF3"/>
    <w:rsid w:val="7BCD1002"/>
    <w:rsid w:val="7BFD16E1"/>
    <w:rsid w:val="7CBD9D5C"/>
    <w:rsid w:val="7CE46DFB"/>
    <w:rsid w:val="7D3FC725"/>
    <w:rsid w:val="7D755826"/>
    <w:rsid w:val="7D7F3718"/>
    <w:rsid w:val="7DD155A7"/>
    <w:rsid w:val="7DDED003"/>
    <w:rsid w:val="7DFAD028"/>
    <w:rsid w:val="7DFC0ECD"/>
    <w:rsid w:val="7DFF00C5"/>
    <w:rsid w:val="7E076BDC"/>
    <w:rsid w:val="7E7EB6BA"/>
    <w:rsid w:val="7E9FA5EB"/>
    <w:rsid w:val="7EBE11DB"/>
    <w:rsid w:val="7EDB3494"/>
    <w:rsid w:val="7EDD87CE"/>
    <w:rsid w:val="7EE31664"/>
    <w:rsid w:val="7EFD5580"/>
    <w:rsid w:val="7EFFC64B"/>
    <w:rsid w:val="7EFFD629"/>
    <w:rsid w:val="7F1DB8A6"/>
    <w:rsid w:val="7F3DA118"/>
    <w:rsid w:val="7F5C0F8A"/>
    <w:rsid w:val="7F6B4E27"/>
    <w:rsid w:val="7F7774A3"/>
    <w:rsid w:val="7FA65D64"/>
    <w:rsid w:val="7FEF02FA"/>
    <w:rsid w:val="7FF63CB4"/>
    <w:rsid w:val="7FF98F61"/>
    <w:rsid w:val="7FFC6D43"/>
    <w:rsid w:val="7FFF350A"/>
    <w:rsid w:val="7FFF41E8"/>
    <w:rsid w:val="7FFFEEAB"/>
    <w:rsid w:val="8FFDA0C0"/>
    <w:rsid w:val="9177FFD9"/>
    <w:rsid w:val="954F2484"/>
    <w:rsid w:val="9AFD754C"/>
    <w:rsid w:val="9BF51116"/>
    <w:rsid w:val="9BFBE118"/>
    <w:rsid w:val="9BFE5A9A"/>
    <w:rsid w:val="9DBDC5DF"/>
    <w:rsid w:val="9FBDCAED"/>
    <w:rsid w:val="9FBFB052"/>
    <w:rsid w:val="9FF2906F"/>
    <w:rsid w:val="9FF73C3C"/>
    <w:rsid w:val="AAFF2F5C"/>
    <w:rsid w:val="ABBF0140"/>
    <w:rsid w:val="ADDBE62C"/>
    <w:rsid w:val="ADEB5891"/>
    <w:rsid w:val="AEFE40A8"/>
    <w:rsid w:val="AFAF8299"/>
    <w:rsid w:val="B767BEA2"/>
    <w:rsid w:val="B7CF09BA"/>
    <w:rsid w:val="B7E3AE5D"/>
    <w:rsid w:val="BAFF741D"/>
    <w:rsid w:val="BB3FA3D9"/>
    <w:rsid w:val="BBFD0B6B"/>
    <w:rsid w:val="BCFD03DB"/>
    <w:rsid w:val="BDFDAD6E"/>
    <w:rsid w:val="BDFDEB06"/>
    <w:rsid w:val="BEEDCAA2"/>
    <w:rsid w:val="BEF69680"/>
    <w:rsid w:val="BFDB3B05"/>
    <w:rsid w:val="BFEE721E"/>
    <w:rsid w:val="BFFEC8CC"/>
    <w:rsid w:val="BFFF13B7"/>
    <w:rsid w:val="CBFF5228"/>
    <w:rsid w:val="CDDC0E42"/>
    <w:rsid w:val="CDDFDF5F"/>
    <w:rsid w:val="CDED3500"/>
    <w:rsid w:val="CE1FD242"/>
    <w:rsid w:val="CE8E8035"/>
    <w:rsid w:val="CFBFA530"/>
    <w:rsid w:val="D3DF5E04"/>
    <w:rsid w:val="D3FF13AE"/>
    <w:rsid w:val="D5B7EC1F"/>
    <w:rsid w:val="D5FE0FB3"/>
    <w:rsid w:val="D5FF9B10"/>
    <w:rsid w:val="D6DE6518"/>
    <w:rsid w:val="D6DF21BD"/>
    <w:rsid w:val="D6ED5248"/>
    <w:rsid w:val="D76F6439"/>
    <w:rsid w:val="D7AB2E2D"/>
    <w:rsid w:val="D7BEEE27"/>
    <w:rsid w:val="DAB34CE0"/>
    <w:rsid w:val="DB5B6AC3"/>
    <w:rsid w:val="DBBFE1F4"/>
    <w:rsid w:val="DBF35256"/>
    <w:rsid w:val="DDB5CFB9"/>
    <w:rsid w:val="DDBD7ED9"/>
    <w:rsid w:val="DDF9F447"/>
    <w:rsid w:val="DDFB6074"/>
    <w:rsid w:val="DDFD9D03"/>
    <w:rsid w:val="DE3E98C4"/>
    <w:rsid w:val="DEC77FF2"/>
    <w:rsid w:val="DEFB23BA"/>
    <w:rsid w:val="DF5E725F"/>
    <w:rsid w:val="DFAE9F66"/>
    <w:rsid w:val="DFB615EF"/>
    <w:rsid w:val="DFC6464C"/>
    <w:rsid w:val="DFEFA29A"/>
    <w:rsid w:val="DFFF979B"/>
    <w:rsid w:val="DFFFAE38"/>
    <w:rsid w:val="DFFFC55A"/>
    <w:rsid w:val="E37B535B"/>
    <w:rsid w:val="E5B60500"/>
    <w:rsid w:val="E5FB5166"/>
    <w:rsid w:val="E7251A3A"/>
    <w:rsid w:val="E7EFCF6E"/>
    <w:rsid w:val="EA79D833"/>
    <w:rsid w:val="EB652E3A"/>
    <w:rsid w:val="EBFF193B"/>
    <w:rsid w:val="EC7F164A"/>
    <w:rsid w:val="ECF56BE5"/>
    <w:rsid w:val="ED9DBD2B"/>
    <w:rsid w:val="EDBE309D"/>
    <w:rsid w:val="EEFD3824"/>
    <w:rsid w:val="EEFF5BF3"/>
    <w:rsid w:val="EF554DBD"/>
    <w:rsid w:val="EF57BA98"/>
    <w:rsid w:val="EF6E6EC3"/>
    <w:rsid w:val="EF7B4EEB"/>
    <w:rsid w:val="EFB6D178"/>
    <w:rsid w:val="EFBC23E1"/>
    <w:rsid w:val="EFBEABD5"/>
    <w:rsid w:val="EFF5DB40"/>
    <w:rsid w:val="EFFA532C"/>
    <w:rsid w:val="EFFFC9DF"/>
    <w:rsid w:val="F2EFAB50"/>
    <w:rsid w:val="F3FFB3BC"/>
    <w:rsid w:val="F4C6D395"/>
    <w:rsid w:val="F54FDAA6"/>
    <w:rsid w:val="F57F70F0"/>
    <w:rsid w:val="F5DF4F1E"/>
    <w:rsid w:val="F5F6BCAC"/>
    <w:rsid w:val="F5FDCAB9"/>
    <w:rsid w:val="F5FFB797"/>
    <w:rsid w:val="F7176EC3"/>
    <w:rsid w:val="F75EE10F"/>
    <w:rsid w:val="F77FACD6"/>
    <w:rsid w:val="F7AF31AE"/>
    <w:rsid w:val="F7CD910E"/>
    <w:rsid w:val="F7E3E31B"/>
    <w:rsid w:val="F7EF4F28"/>
    <w:rsid w:val="F7FAC74A"/>
    <w:rsid w:val="F8F9454B"/>
    <w:rsid w:val="F8FFE29D"/>
    <w:rsid w:val="F9B8BB31"/>
    <w:rsid w:val="F9BA9ABA"/>
    <w:rsid w:val="F9BFDBE2"/>
    <w:rsid w:val="F9F5436D"/>
    <w:rsid w:val="F9FCA447"/>
    <w:rsid w:val="FA7FE9A4"/>
    <w:rsid w:val="FABF40B9"/>
    <w:rsid w:val="FAEF87BC"/>
    <w:rsid w:val="FAF30DEF"/>
    <w:rsid w:val="FB9E13DE"/>
    <w:rsid w:val="FB9E7BC3"/>
    <w:rsid w:val="FBA3D3E0"/>
    <w:rsid w:val="FBBE4C59"/>
    <w:rsid w:val="FBBFE3E8"/>
    <w:rsid w:val="FBDFA5F3"/>
    <w:rsid w:val="FBF624F7"/>
    <w:rsid w:val="FBF955A1"/>
    <w:rsid w:val="FC7E7FEF"/>
    <w:rsid w:val="FC8A99DF"/>
    <w:rsid w:val="FCE54E48"/>
    <w:rsid w:val="FDB7EE8F"/>
    <w:rsid w:val="FDB7F275"/>
    <w:rsid w:val="FDBFB2E5"/>
    <w:rsid w:val="FDEBE291"/>
    <w:rsid w:val="FDF77D70"/>
    <w:rsid w:val="FDFB2B4C"/>
    <w:rsid w:val="FDFD61F1"/>
    <w:rsid w:val="FDFE12EE"/>
    <w:rsid w:val="FDFF99B6"/>
    <w:rsid w:val="FE57A3AB"/>
    <w:rsid w:val="FE7FF62D"/>
    <w:rsid w:val="FEBB5938"/>
    <w:rsid w:val="FEDB6A97"/>
    <w:rsid w:val="FEDE718C"/>
    <w:rsid w:val="FEFCAAFA"/>
    <w:rsid w:val="FEFDFF89"/>
    <w:rsid w:val="FEFF2521"/>
    <w:rsid w:val="FF2F908D"/>
    <w:rsid w:val="FF5AE220"/>
    <w:rsid w:val="FF695ABE"/>
    <w:rsid w:val="FF7F620B"/>
    <w:rsid w:val="FF7FAC52"/>
    <w:rsid w:val="FF8F73C0"/>
    <w:rsid w:val="FFA6548A"/>
    <w:rsid w:val="FFBD42CD"/>
    <w:rsid w:val="FFBF01C3"/>
    <w:rsid w:val="FFBF0D86"/>
    <w:rsid w:val="FFBF2734"/>
    <w:rsid w:val="FFBF62C3"/>
    <w:rsid w:val="FFBF717B"/>
    <w:rsid w:val="FFBF9366"/>
    <w:rsid w:val="FFBFE106"/>
    <w:rsid w:val="FFCC60CD"/>
    <w:rsid w:val="FFE23353"/>
    <w:rsid w:val="FFE5FC18"/>
    <w:rsid w:val="FFFA5601"/>
    <w:rsid w:val="FFFBD997"/>
    <w:rsid w:val="FFFE455B"/>
    <w:rsid w:val="FFFF0007"/>
    <w:rsid w:val="FFFF466A"/>
    <w:rsid w:val="FFFF82AC"/>
    <w:rsid w:val="FFFFA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customStyle="1" w:styleId="12">
    <w:name w:val="NormalCharacter"/>
    <w:semiHidden/>
    <w:qFormat/>
    <w:uiPriority w:val="0"/>
    <w:rPr>
      <w:rFonts w:eastAsia="仿宋_GB2312"/>
      <w:kern w:val="2"/>
      <w:sz w:val="30"/>
      <w:szCs w:val="30"/>
      <w:lang w:val="en-US" w:eastAsia="zh-CN" w:bidi="ar-SA"/>
    </w:rPr>
  </w:style>
  <w:style w:type="character" w:customStyle="1" w:styleId="13">
    <w:name w:val="font81"/>
    <w:basedOn w:val="8"/>
    <w:uiPriority w:val="0"/>
    <w:rPr>
      <w:rFonts w:ascii="方正仿宋简体" w:hAnsi="方正仿宋简体" w:eastAsia="方正仿宋简体" w:cs="方正仿宋简体"/>
      <w:b/>
      <w:color w:val="000000"/>
      <w:sz w:val="20"/>
      <w:szCs w:val="20"/>
      <w:u w:val="none"/>
    </w:rPr>
  </w:style>
  <w:style w:type="character" w:customStyle="1" w:styleId="14">
    <w:name w:val="font01"/>
    <w:basedOn w:val="8"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5">
    <w:name w:val="font15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7">
    <w:name w:val="font5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31"/>
    <w:basedOn w:val="8"/>
    <w:uiPriority w:val="0"/>
    <w:rPr>
      <w:rFonts w:hint="default"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19">
    <w:name w:val="font122"/>
    <w:basedOn w:val="8"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20">
    <w:name w:val="font13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2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8"/>
    <w:uiPriority w:val="0"/>
    <w:rPr>
      <w:rFonts w:hint="default" w:ascii="方正仿宋简体" w:hAnsi="方正仿宋简体" w:eastAsia="方正仿宋简体" w:cs="方正仿宋简体"/>
      <w:color w:val="000000"/>
      <w:sz w:val="16"/>
      <w:szCs w:val="16"/>
      <w:u w:val="none"/>
    </w:rPr>
  </w:style>
  <w:style w:type="character" w:customStyle="1" w:styleId="24">
    <w:name w:val="font111"/>
    <w:basedOn w:val="8"/>
    <w:uiPriority w:val="0"/>
    <w:rPr>
      <w:rFonts w:hint="default" w:ascii="方正仿宋简体" w:hAnsi="方正仿宋简体" w:eastAsia="方正仿宋简体" w:cs="方正仿宋简体"/>
      <w:color w:val="000000"/>
      <w:sz w:val="16"/>
      <w:szCs w:val="16"/>
      <w:u w:val="none"/>
    </w:rPr>
  </w:style>
  <w:style w:type="character" w:customStyle="1" w:styleId="25">
    <w:name w:val="font41"/>
    <w:basedOn w:val="8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2014-11-13T04:08:00Z</dcterms:created>
  <dc:creator>Administrator</dc:creator>
  <cp:lastModifiedBy>d106</cp:lastModifiedBy>
  <cp:lastPrinted>2024-04-25T11:06:00Z</cp:lastPrinted>
  <dcterms:modified xsi:type="dcterms:W3CDTF">2024-07-31T09:27:41Z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DACD266B83D541B2B5A1EF28748CE9CA</vt:lpwstr>
  </property>
</Properties>
</file>