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0" w:rightChars="0"/>
        <w:textAlignment w:val="auto"/>
        <w:outlineLvl w:val="9"/>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2022年度泉州市绩效考评正向激励评分标准</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2"/>
        <w:gridCol w:w="1215"/>
        <w:gridCol w:w="9315"/>
        <w:gridCol w:w="1215"/>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简体" w:cs="Times New Roman"/>
                <w:i w:val="0"/>
                <w:iCs w:val="0"/>
                <w:color w:val="000000"/>
                <w:sz w:val="24"/>
                <w:szCs w:val="24"/>
                <w:u w:val="none"/>
              </w:rPr>
            </w:pPr>
            <w:r>
              <w:rPr>
                <w:rFonts w:hint="default" w:ascii="Times New Roman" w:hAnsi="Times New Roman" w:eastAsia="方正黑体简体" w:cs="Times New Roman"/>
                <w:i w:val="0"/>
                <w:iCs w:val="0"/>
                <w:color w:val="000000"/>
                <w:kern w:val="0"/>
                <w:sz w:val="24"/>
                <w:szCs w:val="24"/>
                <w:u w:val="none"/>
                <w:lang w:val="en-US" w:eastAsia="zh-CN"/>
              </w:rPr>
              <w:t>序号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简体" w:cs="Times New Roman"/>
                <w:i w:val="0"/>
                <w:iCs w:val="0"/>
                <w:color w:val="000000"/>
                <w:sz w:val="24"/>
                <w:szCs w:val="24"/>
                <w:u w:val="none"/>
              </w:rPr>
            </w:pPr>
            <w:r>
              <w:rPr>
                <w:rFonts w:hint="default" w:ascii="Times New Roman" w:hAnsi="Times New Roman" w:eastAsia="方正黑体简体" w:cs="Times New Roman"/>
                <w:i w:val="0"/>
                <w:iCs w:val="0"/>
                <w:color w:val="000000"/>
                <w:kern w:val="0"/>
                <w:sz w:val="24"/>
                <w:szCs w:val="24"/>
                <w:u w:val="none"/>
                <w:lang w:val="en-US" w:eastAsia="zh-CN"/>
              </w:rPr>
              <w:t>激励情形</w:t>
            </w: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简体" w:cs="Times New Roman"/>
                <w:i w:val="0"/>
                <w:iCs w:val="0"/>
                <w:color w:val="000000"/>
                <w:sz w:val="24"/>
                <w:szCs w:val="24"/>
                <w:u w:val="none"/>
              </w:rPr>
            </w:pPr>
            <w:r>
              <w:rPr>
                <w:rFonts w:hint="default" w:ascii="Times New Roman" w:hAnsi="Times New Roman" w:eastAsia="方正黑体简体" w:cs="Times New Roman"/>
                <w:i w:val="0"/>
                <w:iCs w:val="0"/>
                <w:color w:val="000000"/>
                <w:kern w:val="0"/>
                <w:sz w:val="24"/>
                <w:szCs w:val="24"/>
                <w:u w:val="none"/>
                <w:lang w:val="en-US" w:eastAsia="zh-CN"/>
              </w:rPr>
              <w:t>激励标准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简体" w:cs="Times New Roman"/>
                <w:i w:val="0"/>
                <w:iCs w:val="0"/>
                <w:color w:val="000000"/>
                <w:kern w:val="0"/>
                <w:sz w:val="24"/>
                <w:szCs w:val="24"/>
                <w:u w:val="none"/>
                <w:lang w:val="en-US" w:eastAsia="zh-CN"/>
              </w:rPr>
            </w:pPr>
            <w:r>
              <w:rPr>
                <w:rFonts w:hint="default" w:ascii="Times New Roman" w:hAnsi="Times New Roman" w:eastAsia="方正黑体简体" w:cs="Times New Roman"/>
                <w:i w:val="0"/>
                <w:iCs w:val="0"/>
                <w:color w:val="000000"/>
                <w:kern w:val="0"/>
                <w:sz w:val="24"/>
                <w:szCs w:val="24"/>
                <w:u w:val="none"/>
                <w:lang w:val="en-US" w:eastAsia="zh-CN"/>
              </w:rPr>
              <w:t>分值</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简体" w:cs="Times New Roman"/>
                <w:i w:val="0"/>
                <w:iCs w:val="0"/>
                <w:color w:val="000000"/>
                <w:sz w:val="24"/>
                <w:szCs w:val="24"/>
                <w:u w:val="none"/>
              </w:rPr>
            </w:pPr>
            <w:r>
              <w:rPr>
                <w:rFonts w:hint="default" w:ascii="Times New Roman" w:hAnsi="Times New Roman" w:eastAsia="方正黑体简体" w:cs="Times New Roman"/>
                <w:i w:val="0"/>
                <w:iCs w:val="0"/>
                <w:color w:val="000000"/>
                <w:kern w:val="0"/>
                <w:sz w:val="24"/>
                <w:szCs w:val="24"/>
                <w:u w:val="none"/>
                <w:lang w:val="en-US" w:eastAsia="zh-CN"/>
              </w:rPr>
              <w:t>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1</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受到表彰、表扬</w:t>
            </w: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受到中共中央、国务院表彰的。</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kern w:val="0"/>
                <w:sz w:val="22"/>
                <w:szCs w:val="22"/>
                <w:u w:val="none"/>
                <w:lang w:val="en-US" w:eastAsia="zh-CN"/>
              </w:rPr>
            </w:pPr>
            <w:r>
              <w:rPr>
                <w:rFonts w:hint="default" w:ascii="Times New Roman" w:hAnsi="Times New Roman" w:eastAsia="方正仿宋简体" w:cs="Times New Roman"/>
                <w:i w:val="0"/>
                <w:iCs w:val="0"/>
                <w:color w:val="auto"/>
                <w:kern w:val="0"/>
                <w:sz w:val="22"/>
                <w:szCs w:val="22"/>
                <w:u w:val="none"/>
                <w:lang w:val="en-US" w:eastAsia="zh-CN"/>
              </w:rPr>
              <w:t>1</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受到中共中央办公厅、国务院办公厅表彰表扬或予以督查激励的。</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0.5</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受到中央和国家机关或省委、省政府以及省机关效能建设领导小组表彰表扬的。</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0.2</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受到市委、市政府或省直部门表彰表扬的。</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0.1</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以一、二、三等奖等形式表彰表扬的，一等奖</w:t>
            </w:r>
            <w:bookmarkStart w:id="0" w:name="_GoBack"/>
            <w:bookmarkEnd w:id="0"/>
            <w:r>
              <w:rPr>
                <w:rFonts w:hint="default" w:ascii="Times New Roman" w:hAnsi="Times New Roman" w:eastAsia="方正仿宋简体" w:cs="Times New Roman"/>
                <w:i w:val="0"/>
                <w:iCs w:val="0"/>
                <w:color w:val="auto"/>
                <w:kern w:val="0"/>
                <w:sz w:val="22"/>
                <w:szCs w:val="22"/>
                <w:u w:val="none"/>
                <w:lang w:val="en-US" w:eastAsia="zh-CN"/>
              </w:rPr>
              <w:t>按照上述标准计分，二等奖减半计算，三等奖(优秀奖)按1/4计算。</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2</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推广经验做法</w:t>
            </w: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被中共中央、国务院以文件形式在全国推广的。</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1</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被中共中央办公厅、国务院办公厅以文件形式在全国推广的。</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0.5</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被中央和国家机关，省委、省政府，以及省机关效能建设领导小组以正式文件形式在全国或全省推广的。</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0.2</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kern w:val="0"/>
                <w:sz w:val="22"/>
                <w:szCs w:val="22"/>
                <w:u w:val="none"/>
                <w:lang w:val="en-US" w:eastAsia="zh-CN"/>
              </w:rPr>
            </w:pPr>
            <w:r>
              <w:rPr>
                <w:rFonts w:hint="default" w:ascii="Times New Roman" w:hAnsi="Times New Roman" w:eastAsia="方正仿宋简体" w:cs="Times New Roman"/>
                <w:i w:val="0"/>
                <w:iCs w:val="0"/>
                <w:color w:val="auto"/>
                <w:kern w:val="0"/>
                <w:sz w:val="22"/>
                <w:szCs w:val="22"/>
                <w:u w:val="none"/>
                <w:lang w:val="en-US" w:eastAsia="zh-CN"/>
              </w:rPr>
              <w:t>被省直部门或市机关效能建设领导小组以正式文件形式在全省或全市推广的。</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kern w:val="0"/>
                <w:sz w:val="22"/>
                <w:szCs w:val="22"/>
                <w:u w:val="none"/>
                <w:lang w:val="en-US" w:eastAsia="zh-CN"/>
              </w:rPr>
            </w:pPr>
            <w:r>
              <w:rPr>
                <w:rFonts w:hint="default" w:ascii="Times New Roman" w:hAnsi="Times New Roman" w:eastAsia="方正仿宋简体" w:cs="Times New Roman"/>
                <w:i w:val="0"/>
                <w:iCs w:val="0"/>
                <w:color w:val="auto"/>
                <w:kern w:val="0"/>
                <w:sz w:val="22"/>
                <w:szCs w:val="22"/>
                <w:u w:val="none"/>
                <w:lang w:val="en-US" w:eastAsia="zh-CN"/>
              </w:rPr>
              <w:t>0.1</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改革创新项目被省效能办评为全省前3名的，分别计0.3分、0.2分、0.1分；被市效能办评为优秀案例的，计0.1分。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0.3/0.2/0.1</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3</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受到批示肯定</w:t>
            </w: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受到现任中共中央政治局常委批示肯定的。</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kern w:val="0"/>
                <w:sz w:val="22"/>
                <w:szCs w:val="22"/>
                <w:u w:val="none"/>
                <w:lang w:val="en-US" w:eastAsia="zh-CN"/>
              </w:rPr>
            </w:pPr>
            <w:r>
              <w:rPr>
                <w:rFonts w:hint="default" w:ascii="Times New Roman" w:hAnsi="Times New Roman" w:eastAsia="方正仿宋简体" w:cs="Times New Roman"/>
                <w:i w:val="0"/>
                <w:iCs w:val="0"/>
                <w:color w:val="auto"/>
                <w:kern w:val="0"/>
                <w:sz w:val="22"/>
                <w:szCs w:val="22"/>
                <w:u w:val="none"/>
                <w:lang w:val="en-US" w:eastAsia="zh-CN"/>
              </w:rPr>
              <w:t>1</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受到现任其他党和国家领导人批示肯定的。</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0.5</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受到现任中央和国家机关主要负责人批示肯定的，计0.3分，领导班子其他成员批示肯定的，计0.15分。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0.3/0.15</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受到现任省委、省政府主要领导批示肯定的，计0.2分，领导班子其他成员或市委、市政府主要领导批示肯定的，计0.1分。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0.2/0.1</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4</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作典型发言</w:t>
            </w: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在党中央、国务院组织召开，且中共中央政治局常委出席的全国性会议上发言的，计1分;在现任其他党和国家领导人出席的全国性会议上发言的，计0.5分。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kern w:val="0"/>
                <w:sz w:val="22"/>
                <w:szCs w:val="22"/>
                <w:u w:val="none"/>
                <w:lang w:val="en-US" w:eastAsia="zh-CN"/>
              </w:rPr>
            </w:pPr>
            <w:r>
              <w:rPr>
                <w:rFonts w:hint="default" w:ascii="Times New Roman" w:hAnsi="Times New Roman" w:eastAsia="方正仿宋简体" w:cs="Times New Roman"/>
                <w:i w:val="0"/>
                <w:iCs w:val="0"/>
                <w:color w:val="auto"/>
                <w:kern w:val="0"/>
                <w:sz w:val="22"/>
                <w:szCs w:val="22"/>
                <w:u w:val="none"/>
                <w:lang w:val="en-US" w:eastAsia="zh-CN"/>
              </w:rPr>
              <w:t>1/0.5</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在中共中央办公厅、国务院办公厅组织召开的全国性会议上发言的。</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0.3</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在中央和国家机关组织召开的全国性会议(仅限中央和国家机关主要负责人参加的会议)上发言的。</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0.2</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在省委、省政府组织召开的全省性会议(仅限省委省政府领导参加的会议)上发言的。</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0.1</w:t>
            </w: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5</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工作排名靠前</w:t>
            </w: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在中央和国家机关及以上组织开展的评比中，排名位居全国前5位的，依次计0.5分、0.4分、0.3分、0.2分、0.1分。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kern w:val="0"/>
                <w:sz w:val="22"/>
                <w:szCs w:val="22"/>
                <w:u w:val="none"/>
                <w:lang w:val="en-US" w:eastAsia="zh-CN"/>
              </w:rPr>
            </w:pPr>
            <w:r>
              <w:rPr>
                <w:rFonts w:hint="default" w:ascii="Times New Roman" w:hAnsi="Times New Roman" w:eastAsia="方正仿宋简体" w:cs="Times New Roman"/>
                <w:i w:val="0"/>
                <w:iCs w:val="0"/>
                <w:color w:val="auto"/>
                <w:kern w:val="0"/>
                <w:sz w:val="22"/>
                <w:szCs w:val="22"/>
                <w:u w:val="none"/>
                <w:lang w:val="en-US" w:eastAsia="zh-CN"/>
              </w:rPr>
              <w:t>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kern w:val="0"/>
                <w:sz w:val="22"/>
                <w:szCs w:val="22"/>
                <w:u w:val="none"/>
                <w:lang w:val="en-US" w:eastAsia="zh-CN"/>
              </w:rPr>
            </w:pPr>
            <w:r>
              <w:rPr>
                <w:rFonts w:hint="default" w:ascii="Times New Roman" w:hAnsi="Times New Roman" w:eastAsia="方正仿宋简体" w:cs="Times New Roman"/>
                <w:i w:val="0"/>
                <w:iCs w:val="0"/>
                <w:color w:val="auto"/>
                <w:kern w:val="0"/>
                <w:sz w:val="22"/>
                <w:szCs w:val="22"/>
                <w:u w:val="none"/>
                <w:lang w:val="en-US" w:eastAsia="zh-CN"/>
              </w:rPr>
              <w:t>党管武装工作表现突出</w:t>
            </w: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kern w:val="2"/>
                <w:sz w:val="22"/>
                <w:szCs w:val="22"/>
                <w:u w:val="none"/>
                <w:lang w:val="en-US" w:eastAsia="zh-CN" w:bidi="ar-SA"/>
              </w:rPr>
            </w:pPr>
            <w:r>
              <w:rPr>
                <w:rFonts w:hint="default" w:ascii="Times New Roman" w:hAnsi="Times New Roman" w:eastAsia="方正仿宋简体" w:cs="Times New Roman"/>
                <w:i w:val="0"/>
                <w:iCs w:val="0"/>
                <w:color w:val="auto"/>
                <w:kern w:val="0"/>
                <w:sz w:val="22"/>
                <w:szCs w:val="22"/>
                <w:u w:val="none"/>
                <w:lang w:val="en-US" w:eastAsia="zh-CN"/>
              </w:rPr>
              <w:t>在“国防动员”、“兵役征集”、“民兵建设”、“军事设施保护管理”等工作中表现突出，受到正军级以上单位表扬表彰的，中央军委表彰激励事项加1分，各大军种和正大战区以及国防动员部表彰激励事项加0.2分，正军级单位表彰激励事项加0.1分；经验做法在全军推广或在全军性会议上做典型发言的加0.2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1/0.2/0.1</w:t>
            </w:r>
          </w:p>
        </w:tc>
        <w:tc>
          <w:tcPr>
            <w:tcW w:w="6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7</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省对市绩效考评指标排名居前3位</w:t>
            </w: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上一年度省对市绩效考评指标排名居全省前3位的，分别给予指标主管单位计0.5分、0.3分、0.2分。若各设区市指标得分相等，则该指标的主管单位不予计分；指标数据主管单位为多个单位的，排在第一位的牵头单位按80%计分，其余的按40%计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kern w:val="0"/>
                <w:sz w:val="22"/>
                <w:szCs w:val="22"/>
                <w:u w:val="none"/>
                <w:lang w:val="en-US" w:eastAsia="zh-CN"/>
              </w:rPr>
            </w:pPr>
            <w:r>
              <w:rPr>
                <w:rFonts w:hint="default" w:ascii="Times New Roman" w:hAnsi="Times New Roman" w:eastAsia="方正仿宋简体" w:cs="Times New Roman"/>
                <w:i w:val="0"/>
                <w:iCs w:val="0"/>
                <w:color w:val="auto"/>
                <w:kern w:val="0"/>
                <w:sz w:val="22"/>
                <w:szCs w:val="22"/>
                <w:u w:val="none"/>
                <w:lang w:val="en-US" w:eastAsia="zh-CN"/>
              </w:rPr>
              <w:t>0.5/0.3/0.2</w:t>
            </w:r>
          </w:p>
        </w:tc>
        <w:tc>
          <w:tcPr>
            <w:tcW w:w="6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2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8</w:t>
            </w:r>
          </w:p>
        </w:tc>
        <w:tc>
          <w:tcPr>
            <w:tcW w:w="121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本年度市委、市政府重点工作表现突出</w:t>
            </w: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在“抓开放招商促项目落地”“工业（产业）园区标准化建设”“抓城建提品质”专项行动中表现突出被评为优秀等次的，每项加0.5分。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kern w:val="0"/>
                <w:sz w:val="22"/>
                <w:szCs w:val="22"/>
                <w:u w:val="none"/>
                <w:lang w:val="en-US" w:eastAsia="zh-CN"/>
              </w:rPr>
            </w:pPr>
            <w:r>
              <w:rPr>
                <w:rFonts w:hint="default" w:ascii="Times New Roman" w:hAnsi="Times New Roman" w:eastAsia="方正仿宋简体" w:cs="Times New Roman"/>
                <w:i w:val="0"/>
                <w:iCs w:val="0"/>
                <w:color w:val="auto"/>
                <w:kern w:val="0"/>
                <w:sz w:val="22"/>
                <w:szCs w:val="22"/>
                <w:u w:val="none"/>
                <w:lang w:val="en-US" w:eastAsia="zh-CN"/>
              </w:rPr>
              <w:t>0.5</w:t>
            </w:r>
          </w:p>
        </w:tc>
        <w:tc>
          <w:tcPr>
            <w:tcW w:w="6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722"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在优化营商环境攻坚行动中“国评”达到“标杆”等次，“省评”排名前2的，牵头单位加0.2分，配合单位加0.1分。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sz w:val="22"/>
                <w:szCs w:val="22"/>
                <w:u w:val="none"/>
              </w:rPr>
            </w:pPr>
            <w:r>
              <w:rPr>
                <w:rFonts w:hint="default" w:ascii="Times New Roman" w:hAnsi="Times New Roman" w:eastAsia="方正仿宋简体" w:cs="Times New Roman"/>
                <w:i w:val="0"/>
                <w:iCs w:val="0"/>
                <w:color w:val="auto"/>
                <w:kern w:val="0"/>
                <w:sz w:val="22"/>
                <w:szCs w:val="22"/>
                <w:u w:val="none"/>
                <w:lang w:val="en-US" w:eastAsia="zh-CN"/>
              </w:rPr>
              <w:t>0.2/0.1</w:t>
            </w:r>
          </w:p>
        </w:tc>
        <w:tc>
          <w:tcPr>
            <w:tcW w:w="6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2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121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c>
          <w:tcPr>
            <w:tcW w:w="9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auto"/>
                <w:kern w:val="0"/>
                <w:sz w:val="22"/>
                <w:szCs w:val="22"/>
                <w:u w:val="none"/>
                <w:lang w:val="en-US" w:eastAsia="zh-CN"/>
              </w:rPr>
            </w:pPr>
            <w:r>
              <w:rPr>
                <w:rFonts w:hint="default" w:ascii="Times New Roman" w:hAnsi="Times New Roman" w:eastAsia="方正仿宋简体" w:cs="Times New Roman"/>
                <w:i w:val="0"/>
                <w:iCs w:val="0"/>
                <w:color w:val="auto"/>
                <w:kern w:val="0"/>
                <w:sz w:val="22"/>
                <w:szCs w:val="22"/>
                <w:u w:val="none"/>
                <w:lang w:val="en-US" w:eastAsia="zh-CN"/>
              </w:rPr>
              <w:t>对“党建+”邻里中心建设推进有力、成效明显，被评为五星级的，每个加0.1分。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auto"/>
                <w:kern w:val="0"/>
                <w:sz w:val="22"/>
                <w:szCs w:val="22"/>
                <w:u w:val="none"/>
                <w:lang w:val="en-US" w:eastAsia="zh-CN"/>
              </w:rPr>
            </w:pPr>
            <w:r>
              <w:rPr>
                <w:rFonts w:hint="default" w:ascii="Times New Roman" w:hAnsi="Times New Roman" w:eastAsia="方正仿宋简体" w:cs="Times New Roman"/>
                <w:i w:val="0"/>
                <w:iCs w:val="0"/>
                <w:color w:val="auto"/>
                <w:kern w:val="0"/>
                <w:sz w:val="22"/>
                <w:szCs w:val="22"/>
                <w:u w:val="none"/>
                <w:lang w:val="en-US" w:eastAsia="zh-CN"/>
              </w:rPr>
              <w:t>0.1</w:t>
            </w:r>
          </w:p>
        </w:tc>
        <w:tc>
          <w:tcPr>
            <w:tcW w:w="6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简体" w:cs="Times New Roman"/>
                <w:i w:val="0"/>
                <w:iCs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0" w:rightChars="0"/>
        <w:jc w:val="center"/>
        <w:textAlignment w:val="auto"/>
        <w:outlineLvl w:val="9"/>
        <w:rPr>
          <w:rFonts w:hint="default" w:ascii="Times New Roman" w:hAnsi="Times New Roman" w:eastAsia="方正仿宋简体" w:cs="Times New Roman"/>
          <w:sz w:val="32"/>
          <w:szCs w:val="32"/>
          <w:lang w:val="en-US" w:eastAsia="zh-CN"/>
        </w:rPr>
        <w:sectPr>
          <w:footerReference r:id="rId3" w:type="default"/>
          <w:pgSz w:w="16838" w:h="11906" w:orient="landscape"/>
          <w:pgMar w:top="1418" w:right="1871" w:bottom="1418" w:left="1871" w:header="851" w:footer="1417" w:gutter="0"/>
          <w:pgNumType w:fmt="decimal" w:start="17"/>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16</w:t>
                          </w:r>
                          <w:r>
                            <w:rPr>
                              <w:rFonts w:ascii="宋体" w:hAnsi="宋体"/>
                              <w:sz w:val="28"/>
                              <w:szCs w:val="28"/>
                            </w:rPr>
                            <w:fldChar w:fldCharType="end"/>
                          </w:r>
                          <w:r>
                            <w:rPr>
                              <w:rFonts w:hint="eastAsia"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05pt;height:144pt;width:144pt;mso-position-horizontal:outside;mso-position-horizontal-relative:margin;mso-wrap-style:none;z-index:251659264;mso-width-relative:page;mso-height-relative:page;" filled="f" stroked="f" coordsize="21600,21600" o:gfxdata="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k+a+7QAAAABQEAAA8AAAAAAAAAAQAgAAAAIgAAAGRycy9kb3ducmV2Lnht&#10;bFBLAQIUABQAAAAIAIdO4kDkov7PyAEAAJkDAAAOAAAAAAAAAAEAIAAAAB8BAABkcnMvZTJvRG9j&#10;LnhtbFBLBQYAAAAABgAGAFkBAABZBQAAAAA=&#10;">
              <v:path/>
              <v:fill on="f" focussize="0,0"/>
              <v:stroke on="f"/>
              <v:imagedata o:title=""/>
              <o:lock v:ext="edit" grouping="f" rotation="f" text="f" aspectratio="f"/>
              <v:textbox inset="0mm,0mm,0mm,0mm" style="mso-fit-shape-to-text:t;">
                <w:txbxContent>
                  <w:p>
                    <w:pPr>
                      <w:pStyle w:val="2"/>
                      <w:rPr>
                        <w:rStyle w:val="6"/>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16</w:t>
                    </w:r>
                    <w:r>
                      <w:rPr>
                        <w:rFonts w:ascii="宋体" w:hAnsi="宋体"/>
                        <w:sz w:val="28"/>
                        <w:szCs w:val="28"/>
                      </w:rPr>
                      <w:fldChar w:fldCharType="end"/>
                    </w:r>
                    <w:r>
                      <w:rPr>
                        <w:rFonts w:hint="eastAsia"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kOTgyZTEyYzgxMGEyMzQ0MjQ5YjZjNWZmYWJhZjAifQ=="/>
  </w:docVars>
  <w:rsids>
    <w:rsidRoot w:val="4BB021DE"/>
    <w:rsid w:val="4BB02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2022-09-01T08:43:00Z</dcterms:created>
  <dc:creator>陈周旋</dc:creator>
  <cp:lastModifiedBy>陈周旋</cp:lastModifiedBy>
  <dcterms:modified xsi:type="dcterms:W3CDTF">2022-09-01T08:49:30Z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13A14F204D084792AA7372CB99F6BD80</vt:lpwstr>
  </property>
</Properties>
</file>